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cs="仿宋"/>
          <w:b/>
          <w:sz w:val="44"/>
          <w:szCs w:val="44"/>
        </w:rPr>
      </w:pPr>
      <w:r>
        <w:rPr>
          <w:rFonts w:hint="eastAsia" w:ascii="方正小标宋简体" w:hAnsi="华文中宋" w:eastAsia="方正小标宋简体" w:cs="仿宋"/>
          <w:b/>
          <w:sz w:val="44"/>
          <w:szCs w:val="44"/>
        </w:rPr>
        <w:t>嘉兴港区党工委、管委会</w:t>
      </w:r>
      <w:r>
        <w:rPr>
          <w:rFonts w:ascii="方正小标宋简体" w:hAnsi="华文中宋" w:eastAsia="方正小标宋简体" w:cs="仿宋"/>
          <w:b/>
          <w:sz w:val="44"/>
          <w:szCs w:val="44"/>
        </w:rPr>
        <w:t>2017</w:t>
      </w:r>
      <w:r>
        <w:rPr>
          <w:rFonts w:hint="eastAsia" w:ascii="方正小标宋简体" w:hAnsi="华文中宋" w:eastAsia="方正小标宋简体" w:cs="仿宋"/>
          <w:b/>
          <w:sz w:val="44"/>
          <w:szCs w:val="44"/>
        </w:rPr>
        <w:t>年工作要点</w:t>
      </w:r>
    </w:p>
    <w:p>
      <w:pPr>
        <w:spacing w:line="600" w:lineRule="exact"/>
        <w:rPr>
          <w:rFonts w:ascii="楷体_GB2312" w:hAnsi="楷体" w:eastAsia="楷体_GB2312" w:cs="楷体"/>
          <w:sz w:val="32"/>
          <w:szCs w:val="32"/>
        </w:rPr>
      </w:pPr>
    </w:p>
    <w:p>
      <w:pPr>
        <w:tabs>
          <w:tab w:val="left" w:pos="3420"/>
        </w:tabs>
        <w:spacing w:line="600" w:lineRule="exact"/>
        <w:ind w:firstLine="640" w:firstLineChars="200"/>
        <w:rPr>
          <w:rFonts w:ascii="黑体" w:hAnsi="黑体" w:eastAsia="黑体" w:cs="仿宋"/>
          <w:sz w:val="32"/>
          <w:szCs w:val="32"/>
        </w:rPr>
      </w:pPr>
      <w:r>
        <w:rPr>
          <w:rFonts w:ascii="仿宋_GB2312" w:eastAsia="仿宋_GB2312"/>
          <w:sz w:val="32"/>
          <w:szCs w:val="32"/>
        </w:rPr>
        <w:t>2017</w:t>
      </w:r>
      <w:r>
        <w:rPr>
          <w:rFonts w:hint="eastAsia" w:ascii="仿宋_GB2312" w:eastAsia="仿宋_GB2312"/>
          <w:sz w:val="32"/>
          <w:szCs w:val="32"/>
        </w:rPr>
        <w:t>年是落实“十三五”规划承上启下的关键之年，是党的十九大胜利召开之年。港区</w:t>
      </w:r>
      <w:r>
        <w:rPr>
          <w:rFonts w:ascii="仿宋_GB2312" w:hAnsi="仿宋" w:eastAsia="仿宋_GB2312" w:cs="仿宋"/>
          <w:sz w:val="32"/>
          <w:szCs w:val="32"/>
        </w:rPr>
        <w:t>2017</w:t>
      </w:r>
      <w:r>
        <w:rPr>
          <w:rFonts w:hint="eastAsia" w:ascii="仿宋_GB2312" w:hAnsi="仿宋" w:eastAsia="仿宋_GB2312" w:cs="仿宋"/>
          <w:sz w:val="32"/>
          <w:szCs w:val="32"/>
        </w:rPr>
        <w:t>年工作的指导思想是：</w:t>
      </w:r>
      <w:r>
        <w:rPr>
          <w:rFonts w:hint="eastAsia" w:ascii="仿宋_GB2312" w:hAnsi="仿宋" w:eastAsia="仿宋_GB2312" w:cs="宋体"/>
          <w:b/>
          <w:kern w:val="0"/>
          <w:sz w:val="32"/>
          <w:szCs w:val="32"/>
        </w:rPr>
        <w:t>认真贯彻落实中央和省委省政府、市委市政府的各项决策部署，坚决按照稳中求进，干在实处、走在前列、勇立潮头和“干好十三五、奋勇当标尖”的总体要求，紧扣供给侧改革这条主线，围绕高质量、均衡性，深化“二次创业”、加快转型发展这个重点，始终坚持以经济建设为中心，始终坚持发展为要、发展为民、发展惠民，扎实开展“招商引资（智）突破提质年、环境整治攻坚提档年、转型发展服务提速年”三个年活动，</w:t>
      </w:r>
      <w:r>
        <w:rPr>
          <w:rFonts w:hint="eastAsia" w:ascii="仿宋_GB2312" w:eastAsia="仿宋_GB2312"/>
          <w:b/>
          <w:sz w:val="32"/>
          <w:szCs w:val="32"/>
        </w:rPr>
        <w:t>重点实施大征迁、大招引、大整治、大服务四大战役，以改革的思路和创新的办法，努力开创港区开发建设新局面。</w:t>
      </w:r>
    </w:p>
    <w:p>
      <w:pPr>
        <w:spacing w:line="600" w:lineRule="exact"/>
        <w:ind w:firstLine="645"/>
        <w:rPr>
          <w:rFonts w:ascii="仿宋_GB2312" w:eastAsia="仿宋_GB2312"/>
          <w:sz w:val="32"/>
          <w:szCs w:val="32"/>
        </w:rPr>
      </w:pPr>
      <w:r>
        <w:rPr>
          <w:rFonts w:hint="eastAsia" w:ascii="仿宋_GB2312" w:hAnsi="仿宋" w:eastAsia="仿宋_GB2312" w:cs="仿宋"/>
          <w:b/>
          <w:sz w:val="32"/>
          <w:szCs w:val="32"/>
        </w:rPr>
        <w:t>经济社会发展的主要预期目</w:t>
      </w:r>
      <w:r>
        <w:rPr>
          <w:rFonts w:hint="eastAsia" w:ascii="仿宋_GB2312" w:eastAsia="仿宋_GB2312"/>
          <w:b/>
          <w:sz w:val="32"/>
          <w:szCs w:val="32"/>
        </w:rPr>
        <w:t>标：</w:t>
      </w:r>
      <w:r>
        <w:rPr>
          <w:rFonts w:hint="eastAsia" w:ascii="仿宋_GB2312" w:eastAsia="仿宋_GB2312"/>
          <w:sz w:val="32"/>
          <w:szCs w:val="32"/>
        </w:rPr>
        <w:t>一般公共预算收入确保增长</w:t>
      </w:r>
      <w:r>
        <w:rPr>
          <w:rFonts w:ascii="仿宋_GB2312" w:eastAsia="仿宋_GB2312"/>
          <w:sz w:val="32"/>
          <w:szCs w:val="32"/>
        </w:rPr>
        <w:t>8%</w:t>
      </w:r>
      <w:r>
        <w:rPr>
          <w:rFonts w:hint="eastAsia" w:ascii="仿宋_GB2312" w:eastAsia="仿宋_GB2312"/>
          <w:sz w:val="32"/>
          <w:szCs w:val="32"/>
        </w:rPr>
        <w:t>，力争</w:t>
      </w:r>
      <w:r>
        <w:rPr>
          <w:rFonts w:ascii="仿宋_GB2312" w:eastAsia="仿宋_GB2312"/>
          <w:sz w:val="32"/>
          <w:szCs w:val="32"/>
        </w:rPr>
        <w:t>10%</w:t>
      </w:r>
      <w:r>
        <w:rPr>
          <w:rFonts w:hint="eastAsia" w:ascii="仿宋_GB2312" w:eastAsia="仿宋_GB2312"/>
          <w:sz w:val="32"/>
          <w:szCs w:val="32"/>
        </w:rPr>
        <w:t>；城镇居民可支配收入确保增长</w:t>
      </w:r>
      <w:r>
        <w:rPr>
          <w:rFonts w:ascii="仿宋_GB2312" w:eastAsia="仿宋_GB2312"/>
          <w:sz w:val="32"/>
          <w:szCs w:val="32"/>
        </w:rPr>
        <w:t>7.5%</w:t>
      </w:r>
      <w:r>
        <w:rPr>
          <w:rFonts w:hint="eastAsia" w:ascii="仿宋_GB2312" w:eastAsia="仿宋_GB2312"/>
          <w:sz w:val="32"/>
          <w:szCs w:val="32"/>
        </w:rPr>
        <w:t>，力争</w:t>
      </w:r>
      <w:r>
        <w:rPr>
          <w:rFonts w:ascii="仿宋_GB2312" w:eastAsia="仿宋_GB2312"/>
          <w:sz w:val="32"/>
          <w:szCs w:val="32"/>
        </w:rPr>
        <w:t>8.5%</w:t>
      </w:r>
      <w:r>
        <w:rPr>
          <w:rFonts w:hint="eastAsia" w:ascii="仿宋_GB2312" w:eastAsia="仿宋_GB2312"/>
          <w:sz w:val="32"/>
          <w:szCs w:val="32"/>
        </w:rPr>
        <w:t>，农村居民人均纯收入确保增长</w:t>
      </w:r>
      <w:r>
        <w:rPr>
          <w:rFonts w:ascii="仿宋_GB2312" w:eastAsia="仿宋_GB2312"/>
          <w:sz w:val="32"/>
          <w:szCs w:val="32"/>
        </w:rPr>
        <w:t>7.5%</w:t>
      </w:r>
      <w:r>
        <w:rPr>
          <w:rFonts w:hint="eastAsia" w:ascii="仿宋_GB2312" w:eastAsia="仿宋_GB2312"/>
          <w:sz w:val="32"/>
          <w:szCs w:val="32"/>
        </w:rPr>
        <w:t>，力争</w:t>
      </w:r>
      <w:r>
        <w:rPr>
          <w:rFonts w:ascii="仿宋_GB2312" w:eastAsia="仿宋_GB2312"/>
          <w:sz w:val="32"/>
          <w:szCs w:val="32"/>
        </w:rPr>
        <w:t>8.5%</w:t>
      </w:r>
      <w:r>
        <w:rPr>
          <w:rFonts w:hint="eastAsia" w:ascii="仿宋_GB2312" w:eastAsia="仿宋_GB2312"/>
          <w:sz w:val="32"/>
          <w:szCs w:val="32"/>
        </w:rPr>
        <w:t>；全社会固定资产投资确保增长</w:t>
      </w:r>
      <w:r>
        <w:rPr>
          <w:rFonts w:ascii="仿宋_GB2312" w:eastAsia="仿宋_GB2312"/>
          <w:sz w:val="32"/>
          <w:szCs w:val="32"/>
        </w:rPr>
        <w:t>10%</w:t>
      </w:r>
      <w:r>
        <w:rPr>
          <w:rFonts w:hint="eastAsia" w:ascii="仿宋_GB2312" w:eastAsia="仿宋_GB2312"/>
          <w:sz w:val="32"/>
          <w:szCs w:val="32"/>
        </w:rPr>
        <w:t>以上，其中工业投入占比力争达到</w:t>
      </w:r>
      <w:r>
        <w:rPr>
          <w:rFonts w:ascii="仿宋_GB2312" w:eastAsia="仿宋_GB2312"/>
          <w:sz w:val="32"/>
          <w:szCs w:val="32"/>
        </w:rPr>
        <w:t>60%</w:t>
      </w:r>
      <w:r>
        <w:rPr>
          <w:rFonts w:hint="eastAsia" w:ascii="仿宋_GB2312" w:eastAsia="仿宋_GB2312"/>
          <w:sz w:val="32"/>
          <w:szCs w:val="32"/>
        </w:rPr>
        <w:t>；合同利用外资确保</w:t>
      </w:r>
      <w:r>
        <w:rPr>
          <w:rFonts w:ascii="仿宋_GB2312" w:eastAsia="仿宋_GB2312"/>
          <w:sz w:val="32"/>
          <w:szCs w:val="32"/>
        </w:rPr>
        <w:t>2</w:t>
      </w:r>
      <w:r>
        <w:rPr>
          <w:rFonts w:hint="eastAsia" w:ascii="仿宋_GB2312" w:eastAsia="仿宋_GB2312"/>
          <w:sz w:val="32"/>
          <w:szCs w:val="32"/>
        </w:rPr>
        <w:t>亿美元以上，实际到位外资确保</w:t>
      </w:r>
      <w:r>
        <w:rPr>
          <w:rFonts w:ascii="仿宋_GB2312" w:eastAsia="仿宋_GB2312"/>
          <w:sz w:val="32"/>
          <w:szCs w:val="32"/>
        </w:rPr>
        <w:t>1.6</w:t>
      </w:r>
      <w:r>
        <w:rPr>
          <w:rFonts w:hint="eastAsia" w:ascii="仿宋_GB2312" w:eastAsia="仿宋_GB2312"/>
          <w:sz w:val="32"/>
          <w:szCs w:val="32"/>
        </w:rPr>
        <w:t>亿美元以上；引进市外内资</w:t>
      </w:r>
      <w:r>
        <w:rPr>
          <w:rFonts w:ascii="仿宋_GB2312" w:eastAsia="仿宋_GB2312"/>
          <w:sz w:val="32"/>
          <w:szCs w:val="32"/>
        </w:rPr>
        <w:t>15</w:t>
      </w:r>
      <w:r>
        <w:rPr>
          <w:rFonts w:hint="eastAsia" w:ascii="仿宋_GB2312" w:eastAsia="仿宋_GB2312"/>
          <w:sz w:val="32"/>
          <w:szCs w:val="32"/>
        </w:rPr>
        <w:t>亿元以上，完成浙商回归资金</w:t>
      </w:r>
      <w:r>
        <w:rPr>
          <w:rFonts w:ascii="仿宋_GB2312" w:eastAsia="仿宋_GB2312"/>
          <w:sz w:val="32"/>
          <w:szCs w:val="32"/>
        </w:rPr>
        <w:t>18</w:t>
      </w:r>
      <w:r>
        <w:rPr>
          <w:rFonts w:hint="eastAsia" w:ascii="仿宋_GB2312" w:eastAsia="仿宋_GB2312"/>
          <w:sz w:val="32"/>
          <w:szCs w:val="32"/>
        </w:rPr>
        <w:t>亿元以上；省千、国千人才各</w:t>
      </w:r>
      <w:r>
        <w:rPr>
          <w:rFonts w:ascii="仿宋_GB2312" w:eastAsia="仿宋_GB2312"/>
          <w:sz w:val="32"/>
          <w:szCs w:val="32"/>
        </w:rPr>
        <w:t>1</w:t>
      </w:r>
      <w:r>
        <w:rPr>
          <w:rFonts w:hint="eastAsia" w:ascii="仿宋_GB2312" w:eastAsia="仿宋_GB2312"/>
          <w:sz w:val="32"/>
          <w:szCs w:val="32"/>
        </w:rPr>
        <w:t>名，嘉兴市创新团队、领军人才</w:t>
      </w:r>
      <w:r>
        <w:rPr>
          <w:rFonts w:ascii="仿宋_GB2312" w:eastAsia="仿宋_GB2312"/>
          <w:sz w:val="32"/>
          <w:szCs w:val="32"/>
        </w:rPr>
        <w:t>2</w:t>
      </w:r>
      <w:r>
        <w:rPr>
          <w:rFonts w:hint="eastAsia" w:ascii="仿宋_GB2312" w:eastAsia="仿宋_GB2312"/>
          <w:sz w:val="32"/>
          <w:szCs w:val="32"/>
        </w:rPr>
        <w:t>个以上；安全生产、节能减排控制在嘉兴市政府下达的指标以内；智慧化工园区国家试点方案上线运行；国家生态示范园区创建达标率稳步提升。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一、实施大征迁，在打造提升产业平台上实现新突破</w:t>
      </w:r>
    </w:p>
    <w:p>
      <w:pPr>
        <w:spacing w:line="600" w:lineRule="exact"/>
        <w:ind w:firstLine="627" w:firstLineChars="196"/>
        <w:rPr>
          <w:rFonts w:ascii="仿宋_GB2312" w:hAnsi="仿宋" w:eastAsia="仿宋_GB2312" w:cs="宋体"/>
          <w:kern w:val="0"/>
          <w:sz w:val="32"/>
          <w:szCs w:val="32"/>
        </w:rPr>
      </w:pPr>
      <w:r>
        <w:rPr>
          <w:rFonts w:hint="eastAsia" w:ascii="仿宋_GB2312" w:hAnsi="仿宋" w:eastAsia="仿宋_GB2312" w:cs="宋体"/>
          <w:kern w:val="0"/>
          <w:sz w:val="32"/>
          <w:szCs w:val="32"/>
        </w:rPr>
        <w:t>围绕打造产业新平台，大力实施成片征迁和退低进高、退散进集、兼并重组等工作</w:t>
      </w:r>
      <w:r>
        <w:rPr>
          <w:rFonts w:ascii="仿宋_GB2312" w:hAnsi="仿宋" w:eastAsia="仿宋_GB2312" w:cs="宋体"/>
          <w:kern w:val="0"/>
          <w:sz w:val="32"/>
          <w:szCs w:val="32"/>
        </w:rPr>
        <w:t>,</w:t>
      </w:r>
      <w:r>
        <w:rPr>
          <w:rFonts w:hint="eastAsia" w:ascii="仿宋_GB2312" w:hAnsi="仿宋" w:eastAsia="仿宋_GB2312" w:cs="宋体"/>
          <w:kern w:val="0"/>
          <w:sz w:val="32"/>
          <w:szCs w:val="32"/>
        </w:rPr>
        <w:t>力争在打造新平台、培育新产业上有新突破。</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1.</w:t>
      </w:r>
      <w:r>
        <w:rPr>
          <w:rFonts w:hint="eastAsia" w:ascii="楷体_GB2312" w:hAnsi="仿宋" w:eastAsia="楷体_GB2312" w:cs="宋体"/>
          <w:kern w:val="0"/>
          <w:sz w:val="32"/>
          <w:szCs w:val="32"/>
        </w:rPr>
        <w:t>强力实施征迁拆违。</w:t>
      </w:r>
      <w:r>
        <w:rPr>
          <w:rFonts w:hint="eastAsia" w:ascii="仿宋_GB2312" w:hAnsi="仿宋" w:eastAsia="仿宋_GB2312" w:cs="宋体"/>
          <w:kern w:val="0"/>
          <w:sz w:val="32"/>
          <w:szCs w:val="32"/>
        </w:rPr>
        <w:t>以拆违开道，堵新为本，治危为要，全力创建无违建区。持续加大征迁力度，全年征迁任务比上一年翻一番以上。加大对历年区块遗留户的拆迁力度，打好牛桥港、龙王路以西、野猫墩等地块拆迁攻坚战。加快拆旧步伐，完成雅山西路、亭桥路、亭子桥及张家转盘区块征迁任务。推动重点区域企业搬迁，全面实施明珠石材城二期、马家荡土地整治、北门新村等搬迁项目。配合退低进高、退散进集、兼并重组，全力搞好所涉区块征迁。</w:t>
      </w:r>
    </w:p>
    <w:p>
      <w:pPr>
        <w:spacing w:line="600" w:lineRule="exact"/>
        <w:ind w:firstLine="640" w:firstLineChars="200"/>
        <w:rPr>
          <w:rFonts w:ascii="楷体_GB2312" w:hAnsi="仿宋" w:eastAsia="楷体_GB2312" w:cs="宋体"/>
          <w:kern w:val="0"/>
          <w:sz w:val="32"/>
          <w:szCs w:val="32"/>
        </w:rPr>
      </w:pPr>
      <w:r>
        <w:rPr>
          <w:rFonts w:ascii="楷体_GB2312" w:eastAsia="楷体_GB2312"/>
          <w:sz w:val="32"/>
          <w:szCs w:val="32"/>
        </w:rPr>
        <w:t>2.</w:t>
      </w:r>
      <w:r>
        <w:rPr>
          <w:rFonts w:hint="eastAsia" w:ascii="楷体_GB2312" w:eastAsia="楷体_GB2312"/>
          <w:sz w:val="32"/>
          <w:szCs w:val="32"/>
        </w:rPr>
        <w:t>聚力新兴产业园。</w:t>
      </w:r>
      <w:r>
        <w:rPr>
          <w:rFonts w:hint="eastAsia" w:ascii="仿宋_GB2312" w:eastAsia="仿宋_GB2312"/>
          <w:sz w:val="32"/>
          <w:szCs w:val="32"/>
        </w:rPr>
        <w:t>按照高起点规划、高标准建设、高强度招商的要求，加快杭浦高速以南、新</w:t>
      </w:r>
      <w:r>
        <w:rPr>
          <w:rFonts w:ascii="仿宋_GB2312" w:eastAsia="仿宋_GB2312"/>
          <w:sz w:val="32"/>
          <w:szCs w:val="32"/>
        </w:rPr>
        <w:t>07</w:t>
      </w:r>
      <w:r>
        <w:rPr>
          <w:rFonts w:hint="eastAsia" w:ascii="仿宋_GB2312" w:eastAsia="仿宋_GB2312"/>
          <w:sz w:val="32"/>
          <w:szCs w:val="32"/>
        </w:rPr>
        <w:t>省道两侧地块的新兴产业区的规划，一季度完成征迁和规划方案，二季度全面启动基础设施框架建设。</w:t>
      </w:r>
    </w:p>
    <w:p>
      <w:pPr>
        <w:spacing w:line="600" w:lineRule="exact"/>
        <w:ind w:firstLine="640" w:firstLineChars="200"/>
        <w:rPr>
          <w:rFonts w:ascii="仿宋_GB2312" w:hAnsi="宋体" w:eastAsia="仿宋_GB2312"/>
          <w:color w:val="000000"/>
          <w:sz w:val="32"/>
          <w:szCs w:val="32"/>
        </w:rPr>
      </w:pPr>
      <w:r>
        <w:rPr>
          <w:rFonts w:ascii="楷体_GB2312" w:hAnsi="仿宋" w:eastAsia="楷体_GB2312" w:cs="宋体"/>
          <w:kern w:val="0"/>
          <w:sz w:val="32"/>
          <w:szCs w:val="32"/>
        </w:rPr>
        <w:t>3.</w:t>
      </w:r>
      <w:r>
        <w:rPr>
          <w:rFonts w:hint="eastAsia" w:ascii="楷体_GB2312" w:eastAsia="楷体_GB2312"/>
          <w:sz w:val="32"/>
          <w:szCs w:val="32"/>
        </w:rPr>
        <w:t>提升化工园区能级。</w:t>
      </w:r>
      <w:r>
        <w:rPr>
          <w:rFonts w:hint="eastAsia" w:ascii="仿宋_GB2312" w:eastAsia="仿宋_GB2312"/>
          <w:sz w:val="32"/>
          <w:szCs w:val="32"/>
        </w:rPr>
        <w:t>以全国智慧化工园区试点示范要求为标准，加快</w:t>
      </w:r>
      <w:r>
        <w:rPr>
          <w:rFonts w:hint="eastAsia" w:ascii="仿宋_GB2312" w:hAnsi="仿宋" w:eastAsia="仿宋_GB2312"/>
          <w:sz w:val="32"/>
          <w:szCs w:val="32"/>
        </w:rPr>
        <w:t>推进智能工厂和智慧园区建设，确保智慧园区</w:t>
      </w:r>
      <w:r>
        <w:rPr>
          <w:rFonts w:ascii="仿宋_GB2312" w:hAnsi="仿宋" w:eastAsia="仿宋_GB2312"/>
          <w:sz w:val="32"/>
          <w:szCs w:val="32"/>
        </w:rPr>
        <w:t>1.0</w:t>
      </w:r>
      <w:r>
        <w:rPr>
          <w:rFonts w:hint="eastAsia" w:ascii="仿宋_GB2312" w:hAnsi="仿宋" w:eastAsia="仿宋_GB2312"/>
          <w:sz w:val="32"/>
          <w:szCs w:val="32"/>
        </w:rPr>
        <w:t>版上线运行，全面提高化工新材料园区的智慧化水平。鼓励企业建设智能工厂，</w:t>
      </w:r>
      <w:r>
        <w:rPr>
          <w:rFonts w:ascii="仿宋_GB2312" w:hAnsi="仿宋" w:eastAsia="仿宋_GB2312"/>
          <w:sz w:val="32"/>
          <w:szCs w:val="32"/>
        </w:rPr>
        <w:t>2017</w:t>
      </w:r>
      <w:r>
        <w:rPr>
          <w:rFonts w:hint="eastAsia" w:ascii="仿宋_GB2312" w:hAnsi="仿宋" w:eastAsia="仿宋_GB2312"/>
          <w:sz w:val="32"/>
          <w:szCs w:val="32"/>
        </w:rPr>
        <w:t>年组织企业申报智能化改造项目</w:t>
      </w:r>
      <w:r>
        <w:rPr>
          <w:rFonts w:ascii="仿宋_GB2312" w:hAnsi="仿宋" w:eastAsia="仿宋_GB2312"/>
          <w:sz w:val="32"/>
          <w:szCs w:val="32"/>
        </w:rPr>
        <w:t>10</w:t>
      </w:r>
      <w:r>
        <w:rPr>
          <w:rFonts w:hint="eastAsia" w:ascii="仿宋_GB2312" w:hAnsi="仿宋" w:eastAsia="仿宋_GB2312"/>
          <w:sz w:val="32"/>
          <w:szCs w:val="32"/>
        </w:rPr>
        <w:t>个以上；认定数字化车间示范项目</w:t>
      </w:r>
      <w:r>
        <w:rPr>
          <w:rFonts w:ascii="仿宋_GB2312" w:hAnsi="仿宋" w:eastAsia="仿宋_GB2312"/>
          <w:sz w:val="32"/>
          <w:szCs w:val="32"/>
        </w:rPr>
        <w:t>5</w:t>
      </w:r>
      <w:r>
        <w:rPr>
          <w:rFonts w:hint="eastAsia" w:ascii="仿宋_GB2312" w:hAnsi="仿宋" w:eastAsia="仿宋_GB2312"/>
          <w:sz w:val="32"/>
          <w:szCs w:val="32"/>
        </w:rPr>
        <w:t>个以上，智能工厂示范项目</w:t>
      </w:r>
      <w:r>
        <w:rPr>
          <w:rFonts w:ascii="仿宋_GB2312" w:hAnsi="仿宋" w:eastAsia="仿宋_GB2312"/>
          <w:sz w:val="32"/>
          <w:szCs w:val="32"/>
        </w:rPr>
        <w:t>5</w:t>
      </w:r>
      <w:r>
        <w:rPr>
          <w:rFonts w:hint="eastAsia" w:ascii="仿宋_GB2312" w:hAnsi="仿宋" w:eastAsia="仿宋_GB2312"/>
          <w:sz w:val="32"/>
          <w:szCs w:val="32"/>
        </w:rPr>
        <w:t>个，培育</w:t>
      </w:r>
      <w:r>
        <w:rPr>
          <w:rFonts w:ascii="仿宋_GB2312" w:hAnsi="仿宋" w:eastAsia="仿宋_GB2312"/>
          <w:sz w:val="32"/>
          <w:szCs w:val="32"/>
        </w:rPr>
        <w:t>1</w:t>
      </w:r>
      <w:r>
        <w:rPr>
          <w:rFonts w:hint="eastAsia" w:ascii="仿宋_GB2312" w:hAnsi="仿宋" w:eastAsia="仿宋_GB2312"/>
          <w:sz w:val="32"/>
          <w:szCs w:val="32"/>
        </w:rPr>
        <w:t>个智能服务示范企业。出台政策，扎</w:t>
      </w:r>
      <w:r>
        <w:rPr>
          <w:rFonts w:hint="eastAsia" w:ascii="仿宋_GB2312" w:eastAsia="仿宋_GB2312"/>
          <w:sz w:val="32"/>
          <w:szCs w:val="32"/>
        </w:rPr>
        <w:t>实推进企业兼并重组、增资扩股，全年兼并重组企业</w:t>
      </w:r>
      <w:r>
        <w:rPr>
          <w:rFonts w:ascii="仿宋_GB2312" w:eastAsia="仿宋_GB2312"/>
          <w:sz w:val="32"/>
          <w:szCs w:val="32"/>
        </w:rPr>
        <w:t>5</w:t>
      </w:r>
      <w:r>
        <w:rPr>
          <w:rFonts w:hint="eastAsia" w:ascii="仿宋_GB2312" w:eastAsia="仿宋_GB2312"/>
          <w:sz w:val="32"/>
          <w:szCs w:val="32"/>
        </w:rPr>
        <w:t>家以上。</w:t>
      </w:r>
    </w:p>
    <w:p>
      <w:pPr>
        <w:spacing w:line="600" w:lineRule="exact"/>
        <w:ind w:firstLine="640" w:firstLineChars="200"/>
        <w:rPr>
          <w:rFonts w:ascii="仿宋_GB2312" w:hAnsi="仿宋" w:eastAsia="仿宋_GB2312"/>
          <w:sz w:val="32"/>
          <w:szCs w:val="32"/>
        </w:rPr>
      </w:pPr>
      <w:r>
        <w:rPr>
          <w:rFonts w:ascii="楷体_GB2312" w:eastAsia="楷体_GB2312"/>
          <w:sz w:val="32"/>
          <w:szCs w:val="32"/>
        </w:rPr>
        <w:t>4.</w:t>
      </w:r>
      <w:r>
        <w:rPr>
          <w:rFonts w:hint="eastAsia" w:ascii="楷体_GB2312" w:eastAsia="楷体_GB2312"/>
          <w:sz w:val="32"/>
          <w:szCs w:val="32"/>
        </w:rPr>
        <w:t>加快新经济园发展。</w:t>
      </w:r>
      <w:r>
        <w:rPr>
          <w:rFonts w:hint="eastAsia" w:ascii="仿宋_GB2312" w:hAnsi="仿宋" w:eastAsia="仿宋_GB2312"/>
          <w:sz w:val="32"/>
          <w:szCs w:val="32"/>
        </w:rPr>
        <w:t>瞄准节能环保、科技研发、电子商务等新兴业态，进一步加快“四新”经济集聚，加速资源整合，壮大规模，树立品牌，引进节能环保、科技研发、检验检测、产业基金等“四新”经济项目和市场主体</w:t>
      </w:r>
      <w:r>
        <w:rPr>
          <w:rFonts w:ascii="仿宋_GB2312" w:hAnsi="仿宋" w:eastAsia="仿宋_GB2312"/>
          <w:sz w:val="32"/>
          <w:szCs w:val="32"/>
        </w:rPr>
        <w:t>100</w:t>
      </w:r>
      <w:r>
        <w:rPr>
          <w:rFonts w:hint="eastAsia" w:ascii="仿宋_GB2312" w:hAnsi="仿宋" w:eastAsia="仿宋_GB2312"/>
          <w:sz w:val="32"/>
          <w:szCs w:val="32"/>
        </w:rPr>
        <w:t>家，新增利税</w:t>
      </w:r>
      <w:r>
        <w:rPr>
          <w:rFonts w:ascii="仿宋_GB2312" w:hAnsi="仿宋" w:eastAsia="仿宋_GB2312"/>
          <w:sz w:val="32"/>
          <w:szCs w:val="32"/>
        </w:rPr>
        <w:t>500</w:t>
      </w:r>
      <w:r>
        <w:rPr>
          <w:rFonts w:hint="eastAsia" w:ascii="仿宋_GB2312" w:hAnsi="仿宋" w:eastAsia="仿宋_GB2312"/>
          <w:sz w:val="32"/>
          <w:szCs w:val="32"/>
        </w:rPr>
        <w:t>万元以上。</w:t>
      </w:r>
    </w:p>
    <w:p>
      <w:pPr>
        <w:spacing w:line="600" w:lineRule="exact"/>
        <w:ind w:firstLine="640" w:firstLineChars="200"/>
        <w:rPr>
          <w:rFonts w:ascii="仿宋_GB2312" w:hAnsi="仿宋" w:eastAsia="仿宋_GB2312"/>
          <w:sz w:val="32"/>
          <w:szCs w:val="32"/>
        </w:rPr>
      </w:pPr>
      <w:r>
        <w:rPr>
          <w:rFonts w:ascii="楷体_GB2312" w:eastAsia="楷体_GB2312"/>
          <w:sz w:val="32"/>
          <w:szCs w:val="32"/>
        </w:rPr>
        <w:t>5.</w:t>
      </w:r>
      <w:r>
        <w:rPr>
          <w:rFonts w:hint="eastAsia" w:ascii="楷体_GB2312" w:eastAsia="楷体_GB2312"/>
          <w:sz w:val="32"/>
          <w:szCs w:val="32"/>
        </w:rPr>
        <w:t>推进综合物流园整合。</w:t>
      </w:r>
      <w:r>
        <w:rPr>
          <w:rFonts w:hint="eastAsia" w:ascii="仿宋_GB2312" w:hAnsi="仿宋" w:eastAsia="仿宋_GB2312"/>
          <w:sz w:val="32"/>
          <w:szCs w:val="32"/>
        </w:rPr>
        <w:t>进一步明确综合物流园功能定位，加快低小散物流企业的整合，突出港口、海河联运等特色，推动物流行业健康快速提升。</w:t>
      </w:r>
    </w:p>
    <w:p>
      <w:pPr>
        <w:spacing w:line="600" w:lineRule="exact"/>
        <w:ind w:firstLine="640" w:firstLineChars="200"/>
        <w:rPr>
          <w:rFonts w:ascii="仿宋_GB2312" w:hAnsi="宋体" w:eastAsia="仿宋_GB2312" w:cs="宋体"/>
          <w:color w:val="000000"/>
          <w:kern w:val="0"/>
          <w:sz w:val="32"/>
          <w:szCs w:val="32"/>
        </w:rPr>
      </w:pPr>
      <w:r>
        <w:rPr>
          <w:rFonts w:ascii="楷体_GB2312" w:eastAsia="楷体_GB2312"/>
          <w:sz w:val="32"/>
          <w:szCs w:val="32"/>
        </w:rPr>
        <w:t>6.</w:t>
      </w:r>
      <w:r>
        <w:rPr>
          <w:rFonts w:hint="eastAsia" w:ascii="楷体_GB2312" w:eastAsia="楷体_GB2312"/>
          <w:sz w:val="32"/>
          <w:szCs w:val="32"/>
        </w:rPr>
        <w:t>发挥综合保税区作用。</w:t>
      </w:r>
      <w:r>
        <w:rPr>
          <w:rFonts w:hint="eastAsia" w:ascii="仿宋_GB2312" w:hAnsi="宋体" w:eastAsia="仿宋_GB2312"/>
          <w:color w:val="000000"/>
          <w:sz w:val="32"/>
          <w:szCs w:val="32"/>
        </w:rPr>
        <w:t>通过借助小笨鸟开放式的公共电子商务平台，</w:t>
      </w:r>
      <w:r>
        <w:rPr>
          <w:rFonts w:hint="eastAsia" w:ascii="仿宋_GB2312" w:hAnsi="宋体" w:eastAsia="仿宋_GB2312" w:cs="仿宋_GB2312"/>
          <w:color w:val="000000"/>
          <w:sz w:val="32"/>
          <w:szCs w:val="32"/>
        </w:rPr>
        <w:t>加快建立综保区跨境电商产业园；提升保税物流平台能级，深化区港联动平台，</w:t>
      </w:r>
      <w:r>
        <w:rPr>
          <w:rFonts w:hint="eastAsia" w:ascii="仿宋_GB2312" w:hAnsi="仿宋_GB2312" w:eastAsia="仿宋_GB2312" w:cs="仿宋_GB2312"/>
          <w:color w:val="000000"/>
          <w:sz w:val="32"/>
          <w:szCs w:val="32"/>
        </w:rPr>
        <w:t>合力推进关检联合“三个一”</w:t>
      </w:r>
      <w:r>
        <w:rPr>
          <w:rFonts w:hint="eastAsia" w:ascii="仿宋_GB2312" w:hAnsi="宋体" w:eastAsia="仿宋_GB2312" w:cs="宋体"/>
          <w:color w:val="000000"/>
          <w:kern w:val="0"/>
          <w:sz w:val="32"/>
          <w:szCs w:val="32"/>
        </w:rPr>
        <w:t>即一次申报、一次查验、一次放行的模式，全年综保区完成固定资产投资</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亿元以上，引进</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亿元以上项目</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个以上。</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7.</w:t>
      </w:r>
      <w:r>
        <w:rPr>
          <w:rFonts w:hint="eastAsia" w:ascii="楷体_GB2312" w:hAnsi="仿宋" w:eastAsia="楷体_GB2312" w:cs="宋体"/>
          <w:kern w:val="0"/>
          <w:sz w:val="32"/>
          <w:szCs w:val="32"/>
        </w:rPr>
        <w:t>大力推进转型发展。</w:t>
      </w:r>
      <w:r>
        <w:rPr>
          <w:rFonts w:hint="eastAsia" w:ascii="仿宋_GB2312" w:hAnsi="仿宋" w:eastAsia="仿宋_GB2312" w:cs="宋体"/>
          <w:kern w:val="0"/>
          <w:sz w:val="32"/>
          <w:szCs w:val="32"/>
        </w:rPr>
        <w:t>加大处置“僵尸企业”力度，深入摸排，建立“僵尸企业”数据库，综合运用用能、用地、用水、排污权等要素差别化政策和各类安全、环保、质量、能耗等强制性标准，加快倒逼“僵尸企业”。出台推动兼并重组实施意见，重点针对园区内工艺落后、污染严重的企业，实施兼并重组，促使企业升级换代。出台“退散进集”政策，开展多部门联合执法，加强行政执法倒逼，引导、规范、倒逼“退散进集”，三年任务两年完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二、实施大招引，在招大引强上实现新突破</w:t>
      </w:r>
    </w:p>
    <w:p>
      <w:pPr>
        <w:spacing w:line="600" w:lineRule="exact"/>
        <w:ind w:firstLine="627" w:firstLineChars="196"/>
        <w:rPr>
          <w:rFonts w:ascii="仿宋_GB2312" w:hAnsi="仿宋" w:eastAsia="仿宋_GB2312" w:cs="宋体"/>
          <w:kern w:val="0"/>
          <w:sz w:val="32"/>
          <w:szCs w:val="32"/>
        </w:rPr>
      </w:pPr>
      <w:r>
        <w:rPr>
          <w:rFonts w:hint="eastAsia" w:ascii="仿宋_GB2312" w:hAnsi="仿宋" w:eastAsia="仿宋_GB2312" w:cs="宋体"/>
          <w:kern w:val="0"/>
          <w:sz w:val="32"/>
          <w:szCs w:val="32"/>
        </w:rPr>
        <w:t>紧紧围绕临港开发区经济发展的主业，始终坚持招商至上、项目为王，改革招商体制，突出招大引强，全面实施大招商。</w:t>
      </w:r>
    </w:p>
    <w:p>
      <w:pPr>
        <w:spacing w:line="600" w:lineRule="exact"/>
        <w:ind w:firstLine="627" w:firstLineChars="196"/>
        <w:rPr>
          <w:rFonts w:ascii="仿宋_GB2312" w:hAnsi="仿宋" w:eastAsia="仿宋_GB2312" w:cs="宋体"/>
          <w:kern w:val="0"/>
          <w:sz w:val="32"/>
          <w:szCs w:val="32"/>
        </w:rPr>
      </w:pPr>
      <w:r>
        <w:rPr>
          <w:rFonts w:ascii="仿宋_GB2312" w:hAnsi="仿宋" w:eastAsia="仿宋_GB2312" w:cs="宋体"/>
          <w:kern w:val="0"/>
          <w:sz w:val="32"/>
          <w:szCs w:val="32"/>
        </w:rPr>
        <w:t xml:space="preserve"> </w:t>
      </w:r>
      <w:r>
        <w:rPr>
          <w:rFonts w:ascii="楷体_GB2312" w:hAnsi="仿宋" w:eastAsia="楷体_GB2312" w:cs="宋体"/>
          <w:kern w:val="0"/>
          <w:sz w:val="32"/>
          <w:szCs w:val="32"/>
        </w:rPr>
        <w:t>8.</w:t>
      </w:r>
      <w:r>
        <w:rPr>
          <w:rFonts w:hint="eastAsia" w:ascii="楷体_GB2312" w:hAnsi="仿宋" w:eastAsia="楷体_GB2312" w:cs="宋体"/>
          <w:kern w:val="0"/>
          <w:sz w:val="32"/>
          <w:szCs w:val="32"/>
        </w:rPr>
        <w:t>拓展招商理念思路。</w:t>
      </w:r>
      <w:r>
        <w:rPr>
          <w:rFonts w:hint="eastAsia" w:ascii="仿宋_GB2312" w:hAnsi="仿宋" w:eastAsia="仿宋_GB2312" w:cs="宋体"/>
          <w:kern w:val="0"/>
          <w:sz w:val="32"/>
          <w:szCs w:val="32"/>
        </w:rPr>
        <w:t>在方式上</w:t>
      </w:r>
      <w:r>
        <w:rPr>
          <w:rFonts w:ascii="仿宋_GB2312" w:hAnsi="仿宋" w:eastAsia="仿宋_GB2312" w:cs="宋体"/>
          <w:kern w:val="0"/>
          <w:sz w:val="32"/>
          <w:szCs w:val="32"/>
        </w:rPr>
        <w:t>,</w:t>
      </w:r>
      <w:r>
        <w:rPr>
          <w:rFonts w:hint="eastAsia" w:ascii="仿宋_GB2312" w:hAnsi="仿宋" w:eastAsia="仿宋_GB2312" w:cs="宋体"/>
          <w:kern w:val="0"/>
          <w:sz w:val="32"/>
          <w:szCs w:val="32"/>
        </w:rPr>
        <w:t>从大规模的宣传推介转向以蹲点、小分队、中介、点对点为主；在导向上</w:t>
      </w:r>
      <w:r>
        <w:rPr>
          <w:rFonts w:ascii="仿宋_GB2312" w:hAnsi="仿宋" w:eastAsia="仿宋_GB2312" w:cs="宋体"/>
          <w:kern w:val="0"/>
          <w:sz w:val="32"/>
          <w:szCs w:val="32"/>
        </w:rPr>
        <w:t>,</w:t>
      </w:r>
      <w:r>
        <w:rPr>
          <w:rFonts w:hint="eastAsia" w:ascii="仿宋_GB2312" w:hAnsi="仿宋" w:eastAsia="仿宋_GB2312" w:cs="宋体"/>
          <w:kern w:val="0"/>
          <w:sz w:val="32"/>
          <w:szCs w:val="32"/>
        </w:rPr>
        <w:t>从化工园区的招商转向以临港制造业、现代服务业、战略性新兴产业为主；在重心上</w:t>
      </w:r>
      <w:r>
        <w:rPr>
          <w:rFonts w:ascii="仿宋_GB2312" w:hAnsi="仿宋" w:eastAsia="仿宋_GB2312" w:cs="宋体"/>
          <w:kern w:val="0"/>
          <w:sz w:val="32"/>
          <w:szCs w:val="32"/>
        </w:rPr>
        <w:t>,</w:t>
      </w:r>
      <w:r>
        <w:rPr>
          <w:rFonts w:hint="eastAsia" w:ascii="仿宋_GB2312" w:hAnsi="仿宋" w:eastAsia="仿宋_GB2312" w:cs="宋体"/>
          <w:kern w:val="0"/>
          <w:sz w:val="32"/>
          <w:szCs w:val="32"/>
        </w:rPr>
        <w:t>从全面出击转向以上海为中心、北京和深圳为两翼的格局。通过拜访一批重点客商、储备一批信息项目、签约一批成熟项目、开工一批落户项目、盘活一批资源存量，实现招商工作新突破。</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9.</w:t>
      </w:r>
      <w:r>
        <w:rPr>
          <w:rFonts w:hint="eastAsia" w:ascii="楷体_GB2312" w:hAnsi="仿宋" w:eastAsia="楷体_GB2312" w:cs="宋体"/>
          <w:kern w:val="0"/>
          <w:sz w:val="32"/>
          <w:szCs w:val="32"/>
        </w:rPr>
        <w:t>完善招商体制机制。</w:t>
      </w:r>
      <w:r>
        <w:rPr>
          <w:rFonts w:hint="eastAsia" w:ascii="仿宋_GB2312" w:hAnsi="仿宋" w:eastAsia="仿宋_GB2312" w:cs="宋体"/>
          <w:kern w:val="0"/>
          <w:sz w:val="32"/>
          <w:szCs w:val="32"/>
        </w:rPr>
        <w:t>全面改革招商体制机制，整合招商资源，抽调经济部门人员充实到招商队伍，确保有人招商、有能力招商、有人服务招商，打造一支懂政策、会谈判、能吃苦、有激情的招商队伍。实行招商人员身份档案化管理，将招商任务、考核、进退相结合</w:t>
      </w:r>
      <w:r>
        <w:rPr>
          <w:rFonts w:ascii="仿宋_GB2312" w:hAnsi="仿宋" w:eastAsia="仿宋_GB2312" w:cs="宋体"/>
          <w:kern w:val="0"/>
          <w:sz w:val="32"/>
          <w:szCs w:val="32"/>
        </w:rPr>
        <w:t>,</w:t>
      </w:r>
      <w:r>
        <w:rPr>
          <w:rFonts w:hint="eastAsia" w:ascii="仿宋_GB2312" w:hAnsi="仿宋" w:eastAsia="仿宋_GB2312" w:cs="宋体"/>
          <w:kern w:val="0"/>
          <w:sz w:val="32"/>
          <w:szCs w:val="32"/>
        </w:rPr>
        <w:t>建立“能进能出、优胜劣汰”的队伍管理机制。改进招商工作激励措施，对招商人员实行绩效挂钩的奖惩制度。引导鼓励民营企业以合资合作、股份转让、兼并收购、境外上市等方式与外国资本、技术实现嫁接合作。</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10.</w:t>
      </w:r>
      <w:r>
        <w:rPr>
          <w:rFonts w:hint="eastAsia" w:ascii="楷体_GB2312" w:hAnsi="仿宋" w:eastAsia="楷体_GB2312" w:cs="宋体"/>
          <w:kern w:val="0"/>
          <w:sz w:val="32"/>
          <w:szCs w:val="32"/>
        </w:rPr>
        <w:t>实施招大引强战略。</w:t>
      </w:r>
      <w:r>
        <w:rPr>
          <w:rFonts w:hint="eastAsia" w:ascii="仿宋_GB2312" w:hAnsi="仿宋" w:eastAsia="仿宋_GB2312" w:cs="宋体"/>
          <w:kern w:val="0"/>
          <w:sz w:val="32"/>
          <w:szCs w:val="32"/>
        </w:rPr>
        <w:t>牢固树立“项目为王、结果至上”的理念，集中力量紧盯央企、紧盯投资</w:t>
      </w:r>
      <w:r>
        <w:rPr>
          <w:rFonts w:ascii="仿宋_GB2312" w:hAnsi="仿宋" w:eastAsia="仿宋_GB2312" w:cs="宋体"/>
          <w:kern w:val="0"/>
          <w:sz w:val="32"/>
          <w:szCs w:val="32"/>
        </w:rPr>
        <w:t>50</w:t>
      </w:r>
      <w:r>
        <w:rPr>
          <w:rFonts w:hint="eastAsia" w:ascii="仿宋_GB2312" w:hAnsi="仿宋" w:eastAsia="仿宋_GB2312" w:cs="宋体"/>
          <w:kern w:val="0"/>
          <w:sz w:val="32"/>
          <w:szCs w:val="32"/>
        </w:rPr>
        <w:t>亿元以上的生产性大项目、紧盯高精尖科技型成长型的好项目，力争在招大引强上有新突破，在引进世界</w:t>
      </w:r>
      <w:r>
        <w:rPr>
          <w:rFonts w:ascii="仿宋_GB2312" w:hAnsi="仿宋" w:eastAsia="仿宋_GB2312" w:cs="宋体"/>
          <w:kern w:val="0"/>
          <w:sz w:val="32"/>
          <w:szCs w:val="32"/>
        </w:rPr>
        <w:t>500</w:t>
      </w:r>
      <w:r>
        <w:rPr>
          <w:rFonts w:hint="eastAsia" w:ascii="仿宋_GB2312" w:hAnsi="仿宋" w:eastAsia="仿宋_GB2312" w:cs="宋体"/>
          <w:kern w:val="0"/>
          <w:sz w:val="32"/>
          <w:szCs w:val="32"/>
        </w:rPr>
        <w:t>强、全球行业龙头企业、投资</w:t>
      </w:r>
      <w:r>
        <w:rPr>
          <w:rFonts w:ascii="仿宋_GB2312" w:hAnsi="仿宋" w:eastAsia="仿宋_GB2312" w:cs="宋体"/>
          <w:kern w:val="0"/>
          <w:sz w:val="32"/>
          <w:szCs w:val="32"/>
        </w:rPr>
        <w:t>1</w:t>
      </w:r>
      <w:r>
        <w:rPr>
          <w:rFonts w:hint="eastAsia" w:ascii="仿宋_GB2312" w:hAnsi="仿宋" w:eastAsia="仿宋_GB2312" w:cs="宋体"/>
          <w:kern w:val="0"/>
          <w:sz w:val="32"/>
          <w:szCs w:val="32"/>
        </w:rPr>
        <w:t>亿美元以上的重大外资项目上有实质性的突破。进一步强化非化产业的大项目招商，资源配置向非化产业的大项目倾斜。强化与政府机构、各类行业协会、国内外重要商会、中介机构的关系，力争成为战略合作伙伴。</w:t>
      </w:r>
    </w:p>
    <w:p>
      <w:pPr>
        <w:spacing w:line="600" w:lineRule="exact"/>
        <w:ind w:firstLine="640" w:firstLineChars="200"/>
        <w:rPr>
          <w:rFonts w:ascii="仿宋_GB2312" w:hAnsi="仿宋" w:eastAsia="仿宋_GB2312" w:cs="宋体"/>
          <w:kern w:val="0"/>
          <w:sz w:val="32"/>
          <w:szCs w:val="32"/>
        </w:rPr>
      </w:pPr>
      <w:r>
        <w:rPr>
          <w:rFonts w:ascii="楷体_GB2312" w:eastAsia="楷体_GB2312"/>
          <w:sz w:val="32"/>
          <w:szCs w:val="32"/>
        </w:rPr>
        <w:t>11.</w:t>
      </w:r>
      <w:r>
        <w:rPr>
          <w:rFonts w:hint="eastAsia" w:ascii="楷体_GB2312" w:eastAsia="楷体_GB2312"/>
          <w:sz w:val="32"/>
          <w:szCs w:val="32"/>
        </w:rPr>
        <w:t>强化与大院名校的合作。</w:t>
      </w:r>
      <w:r>
        <w:rPr>
          <w:rFonts w:hint="eastAsia" w:ascii="仿宋_GB2312" w:eastAsia="仿宋_GB2312"/>
          <w:color w:val="000000"/>
          <w:sz w:val="32"/>
          <w:szCs w:val="32"/>
        </w:rPr>
        <w:t>鼓励合作建立院士专家工作站、博士后工作站、企业研究院、小中试基地等多种形式的产学研联合体，实施重大关键共性技术的研发、成果转化和产业化。全年新增院士专家工作站</w:t>
      </w:r>
      <w:r>
        <w:rPr>
          <w:rFonts w:ascii="仿宋_GB2312" w:eastAsia="仿宋_GB2312"/>
          <w:color w:val="000000"/>
          <w:sz w:val="32"/>
          <w:szCs w:val="32"/>
        </w:rPr>
        <w:t>1</w:t>
      </w:r>
      <w:r>
        <w:rPr>
          <w:rFonts w:hint="eastAsia" w:ascii="仿宋_GB2312" w:eastAsia="仿宋_GB2312"/>
          <w:color w:val="000000"/>
          <w:sz w:val="32"/>
          <w:szCs w:val="32"/>
        </w:rPr>
        <w:t>家。</w:t>
      </w:r>
      <w:r>
        <w:rPr>
          <w:rFonts w:hint="eastAsia" w:ascii="仿宋_GB2312" w:eastAsia="仿宋_GB2312"/>
          <w:sz w:val="32"/>
          <w:szCs w:val="32"/>
        </w:rPr>
        <w:t>积极推进省级高新技术产业园区和省级科技孵化器的创建，对照标准，查漏补缺，争取</w:t>
      </w:r>
      <w:r>
        <w:rPr>
          <w:rFonts w:ascii="仿宋_GB2312" w:eastAsia="仿宋_GB2312"/>
          <w:sz w:val="32"/>
          <w:szCs w:val="32"/>
        </w:rPr>
        <w:t>2017</w:t>
      </w:r>
      <w:r>
        <w:rPr>
          <w:rFonts w:hint="eastAsia" w:ascii="仿宋_GB2312" w:eastAsia="仿宋_GB2312"/>
          <w:sz w:val="32"/>
          <w:szCs w:val="32"/>
        </w:rPr>
        <w:t>年申报成功；出台创新平台建设、创新人才培育和引进、企业研发投入、高新产业培育、政府支持保障等方面有关政策，同时加大科技型企业的引进和培育，全年引进科技型企业</w:t>
      </w:r>
      <w:r>
        <w:rPr>
          <w:rFonts w:ascii="仿宋_GB2312" w:eastAsia="仿宋_GB2312"/>
          <w:sz w:val="32"/>
          <w:szCs w:val="32"/>
        </w:rPr>
        <w:t>3</w:t>
      </w:r>
      <w:r>
        <w:rPr>
          <w:rFonts w:hint="eastAsia" w:ascii="仿宋_GB2312" w:eastAsia="仿宋_GB2312"/>
          <w:sz w:val="32"/>
          <w:szCs w:val="32"/>
        </w:rPr>
        <w:t>家以上，新增高新技术企业</w:t>
      </w:r>
      <w:r>
        <w:rPr>
          <w:rFonts w:ascii="仿宋_GB2312" w:eastAsia="仿宋_GB2312"/>
          <w:sz w:val="32"/>
          <w:szCs w:val="32"/>
        </w:rPr>
        <w:t>2</w:t>
      </w:r>
      <w:r>
        <w:rPr>
          <w:rFonts w:hint="eastAsia" w:ascii="仿宋_GB2312" w:eastAsia="仿宋_GB2312"/>
          <w:sz w:val="32"/>
          <w:szCs w:val="32"/>
        </w:rPr>
        <w:t>家以上，多层次、多角度完善港区的创新体系，不断提高区域创新水平。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三、实施大整治，在改善城乡环境上有新突破</w:t>
      </w:r>
    </w:p>
    <w:p>
      <w:pPr>
        <w:spacing w:line="600" w:lineRule="exact"/>
        <w:ind w:firstLine="627" w:firstLineChars="196"/>
        <w:rPr>
          <w:rFonts w:ascii="仿宋_GB2312" w:hAnsi="仿宋" w:eastAsia="仿宋_GB2312" w:cs="宋体"/>
          <w:kern w:val="0"/>
          <w:sz w:val="32"/>
          <w:szCs w:val="32"/>
        </w:rPr>
      </w:pPr>
      <w:r>
        <w:rPr>
          <w:rFonts w:hint="eastAsia" w:ascii="仿宋_GB2312" w:hAnsi="仿宋" w:eastAsia="仿宋_GB2312" w:cs="宋体"/>
          <w:kern w:val="0"/>
          <w:sz w:val="32"/>
          <w:szCs w:val="32"/>
        </w:rPr>
        <w:t>围绕打造“环杭州湾滨海生态特色新城”目标，坚定不移打好转型升级组合拳，持续推进治水治气和城乡环境综合整治，力争在全面提升港区整体环境形象上有新突破。</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12.</w:t>
      </w:r>
      <w:r>
        <w:rPr>
          <w:rFonts w:hint="eastAsia" w:ascii="楷体_GB2312" w:hAnsi="仿宋" w:eastAsia="楷体_GB2312" w:cs="宋体"/>
          <w:kern w:val="0"/>
          <w:sz w:val="32"/>
          <w:szCs w:val="32"/>
        </w:rPr>
        <w:t>坚持规划引领。</w:t>
      </w:r>
      <w:r>
        <w:rPr>
          <w:rFonts w:hint="eastAsia" w:ascii="仿宋_GB2312" w:hAnsi="仿宋" w:eastAsia="仿宋_GB2312" w:cs="宋体"/>
          <w:kern w:val="0"/>
          <w:sz w:val="32"/>
          <w:szCs w:val="32"/>
        </w:rPr>
        <w:t>编制环境综合整治规划，按照体现秀山水、优空间、亮景观、显特色、畅交通、保民生等要求，打造集约精致的城市空间环境，塑造山水相融的风貌格局。加强港区主要入口、步行街巷、街头广场等重要街区、重要地段和重要节点的整治项目设计，提升空间环境品质。提升农民新社区和传统自然村落，加快推进嘉兴港区江南水乡“浙派民居”规划设计落地建设，打造江南水乡典范的特色城区。加快建立良好的生态体系，打造经济社会和谐、人居环境优化、生态质量优良的宜居滨海新城。</w:t>
      </w:r>
    </w:p>
    <w:p>
      <w:pPr>
        <w:spacing w:line="600" w:lineRule="exact"/>
        <w:ind w:firstLine="640" w:firstLineChars="200"/>
        <w:rPr>
          <w:rFonts w:ascii="仿宋_GB2312" w:eastAsia="仿宋_GB2312"/>
          <w:sz w:val="32"/>
          <w:szCs w:val="32"/>
        </w:rPr>
      </w:pPr>
      <w:r>
        <w:rPr>
          <w:rFonts w:ascii="楷体_GB2312" w:eastAsia="楷体_GB2312"/>
          <w:sz w:val="32"/>
          <w:szCs w:val="32"/>
        </w:rPr>
        <w:t>13.</w:t>
      </w:r>
      <w:r>
        <w:rPr>
          <w:rFonts w:hint="eastAsia" w:ascii="楷体_GB2312" w:eastAsia="楷体_GB2312"/>
          <w:sz w:val="32"/>
          <w:szCs w:val="32"/>
        </w:rPr>
        <w:t>提升绿化水平。</w:t>
      </w:r>
      <w:r>
        <w:rPr>
          <w:rFonts w:hint="eastAsia" w:ascii="仿宋_GB2312" w:eastAsia="仿宋_GB2312"/>
          <w:sz w:val="32"/>
          <w:szCs w:val="32"/>
        </w:rPr>
        <w:t>年内完成</w:t>
      </w:r>
      <w:r>
        <w:rPr>
          <w:rFonts w:ascii="仿宋_GB2312" w:eastAsia="仿宋_GB2312"/>
          <w:sz w:val="32"/>
          <w:szCs w:val="32"/>
        </w:rPr>
        <w:t>50</w:t>
      </w:r>
      <w:r>
        <w:rPr>
          <w:rFonts w:hint="eastAsia" w:ascii="仿宋_GB2312" w:eastAsia="仿宋_GB2312"/>
          <w:sz w:val="32"/>
          <w:szCs w:val="32"/>
        </w:rPr>
        <w:t>万平方米以上新建及改造绿化任务。主要为新</w:t>
      </w:r>
      <w:r>
        <w:rPr>
          <w:rFonts w:ascii="仿宋_GB2312" w:eastAsia="仿宋_GB2312"/>
          <w:sz w:val="32"/>
          <w:szCs w:val="32"/>
        </w:rPr>
        <w:t>07</w:t>
      </w:r>
      <w:r>
        <w:rPr>
          <w:rFonts w:hint="eastAsia" w:ascii="仿宋_GB2312" w:eastAsia="仿宋_GB2312"/>
          <w:sz w:val="32"/>
          <w:szCs w:val="32"/>
        </w:rPr>
        <w:t>省道绿化提升改造工程、商务区道路及河道绿化工程、天妃路绿化提升改造工程、瓦山北路、明君路绿化工程及汤陈绿道、古银杏小游园等。逐步环通各条绿道，先行实现牛桥港商务区内绿道全部环通。年内完成龙王路生态隔离带二期建设。</w:t>
      </w:r>
    </w:p>
    <w:p>
      <w:pPr>
        <w:spacing w:line="600" w:lineRule="exact"/>
        <w:ind w:firstLine="640" w:firstLineChars="200"/>
        <w:rPr>
          <w:rFonts w:ascii="仿宋_GB2312" w:eastAsia="仿宋_GB2312"/>
          <w:sz w:val="32"/>
          <w:szCs w:val="32"/>
        </w:rPr>
      </w:pPr>
      <w:r>
        <w:rPr>
          <w:rFonts w:ascii="楷体_GB2312" w:eastAsia="楷体_GB2312"/>
          <w:sz w:val="32"/>
          <w:szCs w:val="32"/>
        </w:rPr>
        <w:t>14.</w:t>
      </w:r>
      <w:r>
        <w:rPr>
          <w:rFonts w:hint="eastAsia" w:ascii="楷体_GB2312" w:eastAsia="楷体_GB2312"/>
          <w:sz w:val="32"/>
          <w:szCs w:val="32"/>
        </w:rPr>
        <w:t>提速道路改造。</w:t>
      </w:r>
      <w:r>
        <w:rPr>
          <w:rFonts w:hint="eastAsia" w:ascii="仿宋_GB2312" w:eastAsia="仿宋_GB2312"/>
          <w:sz w:val="32"/>
          <w:szCs w:val="32"/>
        </w:rPr>
        <w:t>深入实施道路提升改造计划，加快道路提升改造项目建议书、可行性研究报告书初步设计的批准，</w:t>
      </w:r>
      <w:r>
        <w:rPr>
          <w:rFonts w:ascii="仿宋_GB2312" w:eastAsia="仿宋_GB2312"/>
          <w:sz w:val="32"/>
          <w:szCs w:val="32"/>
        </w:rPr>
        <w:t xml:space="preserve"> 20</w:t>
      </w:r>
      <w:r>
        <w:rPr>
          <w:rFonts w:hint="eastAsia" w:ascii="仿宋_GB2312" w:eastAsia="仿宋_GB2312"/>
          <w:sz w:val="32"/>
          <w:szCs w:val="32"/>
        </w:rPr>
        <w:t>条道路全部完成前期准备工作，确保年内完成主要道路改造工作。全年完成道路主要出入口提升改造</w:t>
      </w:r>
      <w:r>
        <w:rPr>
          <w:rFonts w:ascii="仿宋_GB2312" w:eastAsia="仿宋_GB2312"/>
          <w:sz w:val="32"/>
          <w:szCs w:val="32"/>
        </w:rPr>
        <w:t>3</w:t>
      </w:r>
      <w:r>
        <w:rPr>
          <w:rFonts w:hint="eastAsia" w:ascii="仿宋_GB2312" w:eastAsia="仿宋_GB2312"/>
          <w:sz w:val="32"/>
          <w:szCs w:val="32"/>
        </w:rPr>
        <w:t>个以上。</w:t>
      </w:r>
    </w:p>
    <w:p>
      <w:pPr>
        <w:spacing w:line="600" w:lineRule="exact"/>
        <w:ind w:firstLine="640" w:firstLineChars="200"/>
        <w:rPr>
          <w:rFonts w:ascii="仿宋_GB2312" w:eastAsia="仿宋_GB2312"/>
          <w:sz w:val="32"/>
          <w:szCs w:val="32"/>
        </w:rPr>
      </w:pPr>
      <w:r>
        <w:rPr>
          <w:rFonts w:ascii="楷体_GB2312" w:eastAsia="楷体_GB2312"/>
          <w:sz w:val="32"/>
          <w:szCs w:val="32"/>
        </w:rPr>
        <w:t>15.</w:t>
      </w:r>
      <w:r>
        <w:rPr>
          <w:rFonts w:hint="eastAsia" w:ascii="楷体_GB2312" w:eastAsia="楷体_GB2312"/>
          <w:sz w:val="32"/>
          <w:szCs w:val="32"/>
        </w:rPr>
        <w:t>提质“五美”联创。</w:t>
      </w:r>
      <w:r>
        <w:rPr>
          <w:rFonts w:hint="eastAsia" w:ascii="仿宋_GB2312" w:eastAsia="仿宋_GB2312"/>
          <w:sz w:val="32"/>
          <w:szCs w:val="32"/>
        </w:rPr>
        <w:t>推进“美丽村道”和“美丽乡村”建设，制定出台港区美丽乡村建设实施意见，实施“五美联创”“</w:t>
      </w:r>
      <w:r>
        <w:rPr>
          <w:rFonts w:ascii="仿宋_GB2312" w:eastAsia="仿宋_GB2312"/>
          <w:sz w:val="32"/>
          <w:szCs w:val="32"/>
        </w:rPr>
        <w:t>233</w:t>
      </w:r>
      <w:r>
        <w:rPr>
          <w:rFonts w:hint="eastAsia" w:ascii="仿宋_GB2312" w:eastAsia="仿宋_GB2312"/>
          <w:sz w:val="32"/>
          <w:szCs w:val="32"/>
        </w:rPr>
        <w:t>”工程（年内完成美丽乡村建设</w:t>
      </w:r>
      <w:r>
        <w:rPr>
          <w:rFonts w:ascii="仿宋_GB2312" w:eastAsia="仿宋_GB2312"/>
          <w:sz w:val="32"/>
          <w:szCs w:val="32"/>
        </w:rPr>
        <w:t>2</w:t>
      </w:r>
      <w:r>
        <w:rPr>
          <w:rFonts w:hint="eastAsia" w:ascii="仿宋_GB2312" w:eastAsia="仿宋_GB2312"/>
          <w:sz w:val="32"/>
          <w:szCs w:val="32"/>
        </w:rPr>
        <w:t>个，美丽机关和美丽工厂各</w:t>
      </w:r>
      <w:r>
        <w:rPr>
          <w:rFonts w:ascii="仿宋_GB2312" w:eastAsia="仿宋_GB2312"/>
          <w:sz w:val="32"/>
          <w:szCs w:val="32"/>
        </w:rPr>
        <w:t>30</w:t>
      </w:r>
      <w:r>
        <w:rPr>
          <w:rFonts w:hint="eastAsia" w:ascii="仿宋_GB2312" w:eastAsia="仿宋_GB2312"/>
          <w:sz w:val="32"/>
          <w:szCs w:val="32"/>
        </w:rPr>
        <w:t>家，美丽庭院和美丽店铺各</w:t>
      </w:r>
      <w:r>
        <w:rPr>
          <w:rFonts w:ascii="仿宋_GB2312" w:eastAsia="仿宋_GB2312"/>
          <w:sz w:val="32"/>
          <w:szCs w:val="32"/>
        </w:rPr>
        <w:t>300</w:t>
      </w:r>
      <w:r>
        <w:rPr>
          <w:rFonts w:hint="eastAsia" w:ascii="仿宋_GB2312" w:eastAsia="仿宋_GB2312"/>
          <w:sz w:val="32"/>
          <w:szCs w:val="32"/>
        </w:rPr>
        <w:t>家）。</w:t>
      </w:r>
    </w:p>
    <w:p>
      <w:pPr>
        <w:spacing w:line="600" w:lineRule="exact"/>
        <w:ind w:firstLine="627" w:firstLineChars="196"/>
        <w:rPr>
          <w:rFonts w:ascii="仿宋_GB2312" w:hAnsi="宋体" w:eastAsia="仿宋_GB2312" w:cs="仿宋_GB2312"/>
          <w:color w:val="FF0000"/>
          <w:sz w:val="32"/>
          <w:szCs w:val="32"/>
        </w:rPr>
      </w:pPr>
      <w:r>
        <w:rPr>
          <w:rFonts w:ascii="楷体_GB2312" w:hAnsi="宋体" w:eastAsia="楷体_GB2312"/>
          <w:color w:val="000000"/>
          <w:sz w:val="32"/>
          <w:szCs w:val="32"/>
        </w:rPr>
        <w:t>16.</w:t>
      </w:r>
      <w:r>
        <w:rPr>
          <w:rFonts w:hint="eastAsia" w:ascii="楷体_GB2312" w:hAnsi="宋体" w:eastAsia="楷体_GB2312"/>
          <w:color w:val="000000"/>
          <w:sz w:val="32"/>
          <w:szCs w:val="32"/>
        </w:rPr>
        <w:t>攻坚特色小镇。</w:t>
      </w:r>
      <w:r>
        <w:rPr>
          <w:rFonts w:hint="eastAsia" w:ascii="仿宋_GB2312" w:eastAsia="仿宋_GB2312"/>
          <w:sz w:val="32"/>
          <w:szCs w:val="32"/>
        </w:rPr>
        <w:t>以推进蓝色智慧港口小镇的项目建设为契机，推行政府投资项目</w:t>
      </w:r>
      <w:r>
        <w:rPr>
          <w:rFonts w:ascii="仿宋_GB2312" w:eastAsia="仿宋_GB2312"/>
          <w:sz w:val="32"/>
          <w:szCs w:val="32"/>
        </w:rPr>
        <w:t>PPP</w:t>
      </w:r>
      <w:r>
        <w:rPr>
          <w:rFonts w:hint="eastAsia" w:ascii="仿宋_GB2312" w:eastAsia="仿宋_GB2312"/>
          <w:sz w:val="32"/>
          <w:szCs w:val="32"/>
        </w:rPr>
        <w:t>模式，深化与中交第三航务工程勘察设计院有限公司、浙江围海建设集团股份有限公司战略合作，对照建设标准，年内完成特色小镇客厅、</w:t>
      </w:r>
      <w:r>
        <w:rPr>
          <w:rFonts w:ascii="仿宋_GB2312" w:eastAsia="仿宋_GB2312"/>
          <w:sz w:val="32"/>
          <w:szCs w:val="32"/>
        </w:rPr>
        <w:t>AAA</w:t>
      </w:r>
      <w:r>
        <w:rPr>
          <w:rFonts w:hint="eastAsia" w:ascii="仿宋_GB2312" w:eastAsia="仿宋_GB2312"/>
          <w:sz w:val="32"/>
          <w:szCs w:val="32"/>
        </w:rPr>
        <w:t>级景区创建，启动包括防洪大堤建设在内的特色小镇项目</w:t>
      </w:r>
      <w:r>
        <w:rPr>
          <w:rFonts w:ascii="仿宋_GB2312" w:eastAsia="仿宋_GB2312"/>
          <w:sz w:val="32"/>
          <w:szCs w:val="32"/>
        </w:rPr>
        <w:t>3</w:t>
      </w:r>
      <w:r>
        <w:rPr>
          <w:rFonts w:hint="eastAsia" w:ascii="仿宋_GB2312" w:eastAsia="仿宋_GB2312"/>
          <w:sz w:val="32"/>
          <w:szCs w:val="32"/>
        </w:rPr>
        <w:t>个以上，完成固定资产投资</w:t>
      </w:r>
      <w:r>
        <w:rPr>
          <w:rFonts w:ascii="仿宋_GB2312" w:eastAsia="仿宋_GB2312"/>
          <w:sz w:val="32"/>
          <w:szCs w:val="32"/>
        </w:rPr>
        <w:t>3</w:t>
      </w:r>
      <w:r>
        <w:rPr>
          <w:rFonts w:hint="eastAsia" w:ascii="仿宋_GB2312" w:eastAsia="仿宋_GB2312"/>
          <w:sz w:val="32"/>
          <w:szCs w:val="32"/>
        </w:rPr>
        <w:t>亿元以上，特色产业投资额占比不断提高。认真谋</w:t>
      </w:r>
      <w:r>
        <w:rPr>
          <w:rFonts w:hint="eastAsia" w:ascii="仿宋_GB2312" w:eastAsia="仿宋_GB2312"/>
          <w:color w:val="000000"/>
          <w:sz w:val="32"/>
          <w:szCs w:val="32"/>
        </w:rPr>
        <w:t>划建港路延伸段沿海景观带贯通打造，实施中石化嘉兴油库搬迁、老港务局地块腾退等工作。</w:t>
      </w:r>
      <w:r>
        <w:rPr>
          <w:rFonts w:hint="eastAsia" w:ascii="仿宋_GB2312" w:eastAsia="仿宋_GB2312"/>
          <w:sz w:val="32"/>
          <w:szCs w:val="32"/>
        </w:rPr>
        <w:t>加快与海航创新、华夏幸福等大企业、大集团的合作洽谈，全力推动港产城融合发展，上半年有实质性突破。</w:t>
      </w:r>
    </w:p>
    <w:p>
      <w:pPr>
        <w:spacing w:line="600" w:lineRule="exact"/>
        <w:ind w:firstLine="627" w:firstLineChars="196"/>
        <w:rPr>
          <w:rFonts w:ascii="仿宋_GB2312" w:hAnsi="仿宋" w:eastAsia="仿宋_GB2312" w:cs="宋体"/>
          <w:kern w:val="0"/>
          <w:sz w:val="32"/>
          <w:szCs w:val="32"/>
        </w:rPr>
      </w:pPr>
      <w:r>
        <w:rPr>
          <w:rFonts w:ascii="楷体_GB2312" w:hAnsi="仿宋" w:eastAsia="楷体_GB2312" w:cs="宋体"/>
          <w:kern w:val="0"/>
          <w:sz w:val="32"/>
          <w:szCs w:val="32"/>
        </w:rPr>
        <w:t>17.</w:t>
      </w:r>
      <w:r>
        <w:rPr>
          <w:rFonts w:hint="eastAsia" w:ascii="楷体_GB2312" w:hAnsi="仿宋" w:eastAsia="楷体_GB2312" w:cs="宋体"/>
          <w:kern w:val="0"/>
          <w:sz w:val="32"/>
          <w:szCs w:val="32"/>
        </w:rPr>
        <w:t>改善城镇环境。</w:t>
      </w:r>
      <w:r>
        <w:rPr>
          <w:rFonts w:hint="eastAsia" w:ascii="仿宋_GB2312" w:eastAsia="仿宋_GB2312"/>
          <w:sz w:val="32"/>
          <w:szCs w:val="32"/>
        </w:rPr>
        <w:t>年内完成雅山路、天妃路、中山路、建港路、滨海大道（建港路</w:t>
      </w:r>
      <w:r>
        <w:rPr>
          <w:rFonts w:ascii="仿宋_GB2312" w:eastAsia="仿宋_GB2312"/>
          <w:sz w:val="32"/>
          <w:szCs w:val="32"/>
        </w:rPr>
        <w:t>-</w:t>
      </w:r>
      <w:r>
        <w:rPr>
          <w:rFonts w:hint="eastAsia" w:ascii="仿宋_GB2312" w:eastAsia="仿宋_GB2312"/>
          <w:sz w:val="32"/>
          <w:szCs w:val="32"/>
        </w:rPr>
        <w:t>天妃路段）等主要街区的立面改造、灯光亮化工程、管线落地工程；完成南大街、北大街等老街的“穿衣戴帽”工程；完成天妃路、雅山路店招整治。城区重点实施天妃路和中山路两条精品示范路。</w:t>
      </w:r>
      <w:r>
        <w:rPr>
          <w:rFonts w:hint="eastAsia" w:ascii="仿宋_GB2312" w:hAnsi="仿宋" w:eastAsia="仿宋_GB2312" w:cs="宋体"/>
          <w:kern w:val="0"/>
          <w:sz w:val="32"/>
          <w:szCs w:val="32"/>
        </w:rPr>
        <w:t>多部门联合集中治理“道乱占”、“摊乱摆”、“线乱拉”、“车乱开”等现象。开展道路交通治理为重点的百日攻坚行动，建立完善“道乱占”治理工作机制。加大集贸市场整治改造力度，加强联合执法，全面取缔违规经营、乱设摊点等行为。规范户外缆线架设，着力整治“空中蜘蛛网”现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四、开展大服务，在为民为企服务上有新突破</w:t>
      </w:r>
    </w:p>
    <w:p>
      <w:pPr>
        <w:spacing w:line="600" w:lineRule="exact"/>
        <w:ind w:firstLine="640" w:firstLineChars="200"/>
        <w:rPr>
          <w:rFonts w:ascii="仿宋_GB2312" w:eastAsia="仿宋_GB2312"/>
          <w:sz w:val="32"/>
          <w:szCs w:val="32"/>
        </w:rPr>
      </w:pPr>
      <w:r>
        <w:rPr>
          <w:rFonts w:ascii="楷体_GB2312" w:hAnsi="仿宋" w:eastAsia="楷体_GB2312" w:cs="宋体"/>
          <w:kern w:val="0"/>
          <w:sz w:val="32"/>
          <w:szCs w:val="32"/>
        </w:rPr>
        <w:t>18.</w:t>
      </w:r>
      <w:r>
        <w:rPr>
          <w:rFonts w:hint="eastAsia" w:ascii="楷体_GB2312" w:hAnsi="仿宋" w:eastAsia="楷体_GB2312" w:cs="宋体"/>
          <w:kern w:val="0"/>
          <w:sz w:val="32"/>
          <w:szCs w:val="32"/>
        </w:rPr>
        <w:t>聚焦项目推进。</w:t>
      </w:r>
      <w:r>
        <w:rPr>
          <w:rFonts w:hint="eastAsia" w:ascii="仿宋_GB2312" w:eastAsia="仿宋_GB2312"/>
          <w:sz w:val="32"/>
          <w:szCs w:val="32"/>
        </w:rPr>
        <w:t>按照“谁牵头、谁协调”的原则，积极主动搞好对接协调，及时解决项目建设中的困难和问题，加快推进项目建设。建立重点项目问题清单制，紧盯进度缓慢的项目，坚持项目问题现场协调解决，加强项目推进的督查通报，进一步增强项目推进的针对性、有效性，确保各类项目顺利推进。实行项目服务“一把手”负责制，各部门、各单位必须把服务项目推进作为首要任务，主要领导亲自抓，分管领导具体抓，工作人员配合抓，真正形成全员服务项目推进的良好氛围。</w:t>
      </w:r>
    </w:p>
    <w:p>
      <w:pPr>
        <w:spacing w:line="600" w:lineRule="exact"/>
        <w:ind w:firstLine="640" w:firstLineChars="200"/>
        <w:rPr>
          <w:rFonts w:ascii="仿宋_GB2312" w:eastAsia="仿宋_GB2312"/>
          <w:sz w:val="32"/>
          <w:szCs w:val="32"/>
        </w:rPr>
      </w:pPr>
      <w:r>
        <w:rPr>
          <w:rFonts w:ascii="楷体_GB2312" w:eastAsia="楷体_GB2312"/>
          <w:color w:val="000000"/>
          <w:sz w:val="32"/>
          <w:szCs w:val="32"/>
        </w:rPr>
        <w:t>19.</w:t>
      </w:r>
      <w:r>
        <w:rPr>
          <w:rFonts w:hint="eastAsia" w:ascii="楷体_GB2312" w:eastAsia="楷体_GB2312"/>
          <w:color w:val="000000"/>
          <w:sz w:val="32"/>
          <w:szCs w:val="32"/>
        </w:rPr>
        <w:t>聚焦技术改造。</w:t>
      </w:r>
      <w:r>
        <w:rPr>
          <w:rFonts w:hint="eastAsia" w:ascii="仿宋_GB2312" w:eastAsia="仿宋_GB2312"/>
          <w:color w:val="000000"/>
          <w:sz w:val="32"/>
          <w:szCs w:val="32"/>
        </w:rPr>
        <w:t>加速“四新经济”发展，挖掘新增长点，形成新的投资增长动力，</w:t>
      </w:r>
      <w:r>
        <w:rPr>
          <w:rFonts w:hint="eastAsia" w:ascii="仿宋_GB2312" w:hAnsi="宋体" w:eastAsia="仿宋_GB2312"/>
          <w:color w:val="000000"/>
          <w:sz w:val="32"/>
          <w:szCs w:val="32"/>
        </w:rPr>
        <w:t>以推进制造业“高端化、规模化、智能化、集聚化、低碳化、服务化”为发展方向，引导推动企业实施技术改造，加快“机器换人”步伐。</w:t>
      </w:r>
      <w:r>
        <w:rPr>
          <w:rFonts w:hint="eastAsia" w:ascii="仿宋_GB2312" w:eastAsia="仿宋_GB2312"/>
          <w:color w:val="000000"/>
          <w:sz w:val="32"/>
          <w:szCs w:val="32"/>
        </w:rPr>
        <w:t>重点谋划化工下游及产业链、装备制造业、新型建材、特色纺织业、节能环保、安全生产、电机改造等</w:t>
      </w:r>
      <w:r>
        <w:rPr>
          <w:rFonts w:ascii="仿宋_GB2312" w:eastAsia="仿宋_GB2312"/>
          <w:color w:val="000000"/>
          <w:sz w:val="32"/>
          <w:szCs w:val="32"/>
        </w:rPr>
        <w:t>10</w:t>
      </w:r>
      <w:r>
        <w:rPr>
          <w:rFonts w:hint="eastAsia" w:ascii="仿宋_GB2312" w:eastAsia="仿宋_GB2312"/>
          <w:color w:val="000000"/>
          <w:sz w:val="32"/>
          <w:szCs w:val="32"/>
        </w:rPr>
        <w:t>大类技改项目，完善港区重大项目库，夯实发展后劲。</w:t>
      </w:r>
    </w:p>
    <w:p>
      <w:pPr>
        <w:autoSpaceDE w:val="0"/>
        <w:autoSpaceDN w:val="0"/>
        <w:adjustRightInd w:val="0"/>
        <w:spacing w:line="600" w:lineRule="exact"/>
        <w:ind w:firstLine="640" w:firstLineChars="200"/>
        <w:rPr>
          <w:rFonts w:ascii="仿宋_GB2312" w:eastAsia="仿宋_GB2312" w:cs="仿宋_GB2312"/>
          <w:sz w:val="32"/>
          <w:szCs w:val="32"/>
        </w:rPr>
      </w:pPr>
      <w:r>
        <w:rPr>
          <w:rFonts w:ascii="楷体_GB2312" w:hAnsi="仿宋" w:eastAsia="楷体_GB2312" w:cs="宋体"/>
          <w:kern w:val="0"/>
          <w:sz w:val="32"/>
          <w:szCs w:val="32"/>
        </w:rPr>
        <w:t>20.</w:t>
      </w:r>
      <w:r>
        <w:rPr>
          <w:rFonts w:hint="eastAsia" w:ascii="楷体_GB2312" w:hAnsi="仿宋" w:eastAsia="楷体_GB2312" w:cs="宋体"/>
          <w:kern w:val="0"/>
          <w:sz w:val="32"/>
          <w:szCs w:val="32"/>
        </w:rPr>
        <w:t>聚焦审批提速。</w:t>
      </w:r>
      <w:r>
        <w:rPr>
          <w:rFonts w:hint="eastAsia" w:ascii="仿宋_GB2312" w:eastAsia="仿宋_GB2312"/>
          <w:sz w:val="32"/>
          <w:szCs w:val="32"/>
        </w:rPr>
        <w:t>树立政府“围着企业转”的意识和导向，</w:t>
      </w:r>
      <w:r>
        <w:rPr>
          <w:rFonts w:hint="eastAsia" w:ascii="仿宋_GB2312" w:hAnsi="仿宋" w:eastAsia="仿宋_GB2312" w:cs="宋体"/>
          <w:kern w:val="0"/>
          <w:sz w:val="32"/>
          <w:szCs w:val="32"/>
        </w:rPr>
        <w:t>着力围绕“最多跑一次”的政府自身改革，推进“放管服”改革，构建新型政社、政企关系。</w:t>
      </w:r>
      <w:r>
        <w:rPr>
          <w:rFonts w:hint="eastAsia" w:ascii="仿宋_GB2312" w:eastAsia="仿宋_GB2312"/>
          <w:sz w:val="32"/>
          <w:szCs w:val="32"/>
        </w:rPr>
        <w:t>处理好服务与管理的关系，有效解决企业实际困难和问题，服务好已入驻企业，对新招引项目实施保姆式、代办制一条龙服务。</w:t>
      </w:r>
      <w:r>
        <w:rPr>
          <w:rFonts w:hint="eastAsia" w:ascii="仿宋_GB2312" w:hAnsi="仿宋" w:eastAsia="仿宋_GB2312" w:cs="宋体"/>
          <w:kern w:val="0"/>
          <w:sz w:val="32"/>
          <w:szCs w:val="32"/>
        </w:rPr>
        <w:t>实施全员项目担当制，实施党员干部</w:t>
      </w:r>
      <w:r>
        <w:rPr>
          <w:rFonts w:hint="eastAsia" w:ascii="仿宋_GB2312" w:eastAsia="仿宋_GB2312"/>
          <w:sz w:val="32"/>
          <w:szCs w:val="32"/>
        </w:rPr>
        <w:t>公开承诺，公开兑现，</w:t>
      </w:r>
      <w:r>
        <w:rPr>
          <w:rFonts w:hint="eastAsia" w:ascii="仿宋_GB2312" w:eastAsia="仿宋_GB2312" w:cs="仿宋_GB2312"/>
          <w:sz w:val="32"/>
          <w:szCs w:val="32"/>
        </w:rPr>
        <w:t>加强项目推进工作的考核，</w:t>
      </w:r>
      <w:r>
        <w:rPr>
          <w:rFonts w:hint="eastAsia" w:ascii="仿宋_GB2312" w:hAnsi="仿宋" w:eastAsia="仿宋_GB2312" w:cs="宋体"/>
          <w:kern w:val="0"/>
          <w:sz w:val="32"/>
          <w:szCs w:val="32"/>
        </w:rPr>
        <w:t>量化项目，限定时间，责任到人，做到件件有着落、事事有回音</w:t>
      </w:r>
      <w:r>
        <w:rPr>
          <w:rFonts w:hint="eastAsia" w:ascii="仿宋_GB2312" w:eastAsia="仿宋_GB2312" w:cs="仿宋_GB2312"/>
          <w:sz w:val="32"/>
          <w:szCs w:val="32"/>
        </w:rPr>
        <w:t>，当好为企服务的“店小二”。</w:t>
      </w:r>
    </w:p>
    <w:p>
      <w:pPr>
        <w:autoSpaceDE w:val="0"/>
        <w:autoSpaceDN w:val="0"/>
        <w:adjustRightInd w:val="0"/>
        <w:spacing w:line="600" w:lineRule="exact"/>
        <w:ind w:firstLine="640" w:firstLineChars="200"/>
        <w:rPr>
          <w:rFonts w:ascii="仿宋_GB2312" w:hAnsi="仿宋" w:eastAsia="仿宋_GB2312" w:cs="宋体"/>
          <w:kern w:val="0"/>
          <w:sz w:val="32"/>
          <w:szCs w:val="32"/>
        </w:rPr>
      </w:pPr>
      <w:r>
        <w:rPr>
          <w:rFonts w:ascii="楷体_GB2312" w:hAnsi="仿宋" w:eastAsia="楷体_GB2312" w:cs="宋体"/>
          <w:kern w:val="0"/>
          <w:sz w:val="32"/>
          <w:szCs w:val="32"/>
        </w:rPr>
        <w:t>21.</w:t>
      </w:r>
      <w:r>
        <w:rPr>
          <w:rFonts w:hint="eastAsia" w:ascii="楷体_GB2312" w:hAnsi="仿宋" w:eastAsia="楷体_GB2312" w:cs="宋体"/>
          <w:kern w:val="0"/>
          <w:sz w:val="32"/>
          <w:szCs w:val="32"/>
        </w:rPr>
        <w:t>聚焦改善民生。</w:t>
      </w:r>
      <w:r>
        <w:rPr>
          <w:rFonts w:hint="eastAsia" w:ascii="仿宋_GB2312" w:hAnsi="仿宋" w:eastAsia="仿宋_GB2312" w:cs="宋体"/>
          <w:kern w:val="0"/>
          <w:sz w:val="32"/>
          <w:szCs w:val="32"/>
        </w:rPr>
        <w:t>继续改善民生，增加社会投入，提高居民收入</w:t>
      </w:r>
      <w:r>
        <w:rPr>
          <w:rFonts w:ascii="仿宋_GB2312" w:hAnsi="仿宋" w:eastAsia="仿宋_GB2312" w:cs="宋体"/>
          <w:kern w:val="0"/>
          <w:sz w:val="32"/>
          <w:szCs w:val="32"/>
        </w:rPr>
        <w:t>,</w:t>
      </w:r>
      <w:r>
        <w:rPr>
          <w:rFonts w:hint="eastAsia" w:ascii="仿宋_GB2312" w:hAnsi="仿宋" w:eastAsia="仿宋_GB2312" w:cs="宋体"/>
          <w:kern w:val="0"/>
          <w:sz w:val="32"/>
          <w:szCs w:val="32"/>
        </w:rPr>
        <w:t>让经济发展成就惠及人民群众。加强文化、体育、医疗、卫生、养老等领域的合作，积极引进优质资源，让港区老百姓在家门口就能够享受优质的社会事业服务。结合与群众生产生活息息相关且急需解决的事项，抓好十大民生实事工程，做到民生逐年改善。深化“平安港区”建设，继续保持社会和谐稳定。</w:t>
      </w:r>
    </w:p>
    <w:p>
      <w:pPr>
        <w:autoSpaceDE w:val="0"/>
        <w:autoSpaceDN w:val="0"/>
        <w:adjustRightInd w:val="0"/>
        <w:spacing w:line="600" w:lineRule="exact"/>
        <w:ind w:firstLine="640" w:firstLineChars="200"/>
        <w:rPr>
          <w:rFonts w:ascii="仿宋_GB2312" w:eastAsia="仿宋_GB2312" w:cs="仿宋_GB2312"/>
          <w:sz w:val="32"/>
          <w:szCs w:val="32"/>
        </w:rPr>
      </w:pPr>
      <w:r>
        <w:rPr>
          <w:rFonts w:ascii="楷体_GB2312" w:eastAsia="楷体_GB2312"/>
          <w:sz w:val="32"/>
          <w:szCs w:val="32"/>
        </w:rPr>
        <w:t>22.</w:t>
      </w:r>
      <w:r>
        <w:rPr>
          <w:rFonts w:hint="eastAsia" w:ascii="楷体_GB2312" w:eastAsia="楷体_GB2312"/>
          <w:sz w:val="32"/>
          <w:szCs w:val="32"/>
        </w:rPr>
        <w:t>聚焦社会和谐。</w:t>
      </w:r>
      <w:r>
        <w:rPr>
          <w:rFonts w:hint="eastAsia" w:ascii="仿宋_GB2312" w:eastAsia="仿宋_GB2312"/>
          <w:sz w:val="32"/>
          <w:szCs w:val="32"/>
        </w:rPr>
        <w:t>注重关口前移，重心下移，增强发现矛盾、化解矛盾的能力和水平；加强社会治理创新，强化依法治理，狠抓信访积案的化解，坚决避免重大群体性事件的发生，坚决避免恶性上访事件的发生；做好乌镇峰会服务保障工作，固化标准，加强落实，构建长效机制。</w:t>
      </w:r>
    </w:p>
    <w:p>
      <w:pPr>
        <w:autoSpaceDE w:val="0"/>
        <w:autoSpaceDN w:val="0"/>
        <w:adjustRightInd w:val="0"/>
        <w:spacing w:line="600" w:lineRule="exact"/>
        <w:ind w:firstLine="640" w:firstLineChars="200"/>
        <w:rPr>
          <w:rFonts w:ascii="黑体" w:hAnsi="黑体" w:eastAsia="黑体"/>
          <w:sz w:val="32"/>
          <w:szCs w:val="32"/>
        </w:rPr>
      </w:pPr>
      <w:r>
        <w:rPr>
          <w:rFonts w:hint="eastAsia" w:ascii="黑体" w:hAnsi="黑体" w:eastAsia="黑体"/>
          <w:sz w:val="32"/>
          <w:szCs w:val="32"/>
        </w:rPr>
        <w:t>五、实施大保障，在坚守底线、从严治党上有新举措</w:t>
      </w:r>
    </w:p>
    <w:p>
      <w:pPr>
        <w:autoSpaceDE w:val="0"/>
        <w:autoSpaceDN w:val="0"/>
        <w:adjustRightInd w:val="0"/>
        <w:spacing w:line="600" w:lineRule="exact"/>
        <w:ind w:firstLine="640" w:firstLineChars="200"/>
        <w:rPr>
          <w:rFonts w:ascii="仿宋_GB2312" w:hAnsi="仿宋" w:eastAsia="仿宋_GB2312" w:cs="宋体"/>
          <w:kern w:val="0"/>
          <w:sz w:val="32"/>
          <w:szCs w:val="32"/>
        </w:rPr>
      </w:pPr>
      <w:r>
        <w:rPr>
          <w:rFonts w:ascii="楷体_GB2312" w:hAnsi="仿宋" w:eastAsia="楷体_GB2312" w:cs="宋体"/>
          <w:kern w:val="0"/>
          <w:sz w:val="32"/>
          <w:szCs w:val="32"/>
        </w:rPr>
        <w:t>23.</w:t>
      </w:r>
      <w:r>
        <w:rPr>
          <w:rFonts w:hint="eastAsia" w:ascii="楷体_GB2312" w:eastAsia="楷体_GB2312"/>
          <w:sz w:val="32"/>
          <w:szCs w:val="32"/>
        </w:rPr>
        <w:t>提升安全生产本质水平。</w:t>
      </w:r>
      <w:r>
        <w:rPr>
          <w:rFonts w:hint="eastAsia" w:ascii="仿宋_GB2312" w:eastAsia="仿宋_GB2312"/>
          <w:sz w:val="32"/>
          <w:szCs w:val="32"/>
        </w:rPr>
        <w:t>继续保持“严监管、严整治、严查处”高压态势，持续开展“隐患治理”和“打非治违”行动，及时消除各重点行业领域事故隐患，全面夯实安全生产基层基础，稳步提升重点行业、重点领域安全生产本质水平。</w:t>
      </w:r>
    </w:p>
    <w:p>
      <w:pPr>
        <w:spacing w:line="600" w:lineRule="exact"/>
        <w:ind w:firstLine="640" w:firstLineChars="200"/>
        <w:rPr>
          <w:rFonts w:ascii="仿宋_GB2312" w:eastAsia="仿宋_GB2312"/>
          <w:sz w:val="32"/>
          <w:szCs w:val="32"/>
          <w:lang w:val="zh-CN"/>
        </w:rPr>
      </w:pPr>
      <w:r>
        <w:rPr>
          <w:rFonts w:ascii="楷体_GB2312" w:eastAsia="楷体_GB2312"/>
          <w:sz w:val="32"/>
          <w:szCs w:val="32"/>
        </w:rPr>
        <w:t>24.</w:t>
      </w:r>
      <w:r>
        <w:rPr>
          <w:rFonts w:hint="eastAsia" w:ascii="楷体_GB2312" w:eastAsia="楷体_GB2312"/>
          <w:sz w:val="32"/>
          <w:szCs w:val="32"/>
        </w:rPr>
        <w:t>扎实推进国家生态工业示范园区创建。</w:t>
      </w:r>
      <w:r>
        <w:rPr>
          <w:rFonts w:hint="eastAsia" w:ascii="仿宋_GB2312" w:eastAsia="仿宋_GB2312"/>
          <w:sz w:val="32"/>
          <w:szCs w:val="32"/>
        </w:rPr>
        <w:t>以国家生态工业示范园区创建为抓手，对照创建标准，倒逼企业节能减排，将各项指标排到每个企业，年内确保创建达标率达</w:t>
      </w:r>
      <w:r>
        <w:rPr>
          <w:rFonts w:ascii="仿宋_GB2312" w:eastAsia="仿宋_GB2312"/>
          <w:sz w:val="32"/>
          <w:szCs w:val="32"/>
        </w:rPr>
        <w:t>80%</w:t>
      </w:r>
      <w:r>
        <w:rPr>
          <w:rFonts w:hint="eastAsia" w:ascii="仿宋_GB2312" w:eastAsia="仿宋_GB2312"/>
          <w:sz w:val="32"/>
          <w:szCs w:val="32"/>
        </w:rPr>
        <w:t>以上；</w:t>
      </w:r>
      <w:r>
        <w:rPr>
          <w:rFonts w:hint="eastAsia" w:ascii="仿宋_GB2312" w:eastAsia="仿宋_GB2312"/>
          <w:sz w:val="32"/>
          <w:szCs w:val="32"/>
          <w:lang w:val="zh-CN"/>
        </w:rPr>
        <w:t>严厉打击偷排漏排、超标排放等各类环境违法行为，构成犯罪的一律移交公安机关依法追究刑事责任。</w:t>
      </w:r>
      <w:r>
        <w:rPr>
          <w:rFonts w:hint="eastAsia" w:ascii="仿宋_GB2312" w:eastAsia="仿宋_GB2312"/>
          <w:sz w:val="32"/>
          <w:szCs w:val="32"/>
        </w:rPr>
        <w:t>重点围绕提高水质和空气质量，突出抓好河道污染源的整治、挥发性有机气体治理和构建长效治理机制三件大事，确保消灭劣五类水，五类水质河道减少</w:t>
      </w:r>
      <w:r>
        <w:rPr>
          <w:rFonts w:ascii="仿宋_GB2312" w:eastAsia="仿宋_GB2312"/>
          <w:sz w:val="32"/>
          <w:szCs w:val="32"/>
        </w:rPr>
        <w:t>50%</w:t>
      </w:r>
      <w:r>
        <w:rPr>
          <w:rFonts w:hint="eastAsia" w:ascii="仿宋_GB2312" w:eastAsia="仿宋_GB2312"/>
          <w:sz w:val="32"/>
          <w:szCs w:val="32"/>
        </w:rPr>
        <w:t>以上，空气质量优良率保持全市领先，绝不发生有影响力的水污染事件和大气污染事件。</w:t>
      </w:r>
    </w:p>
    <w:p>
      <w:pPr>
        <w:spacing w:line="600" w:lineRule="exact"/>
        <w:ind w:firstLine="645"/>
        <w:rPr>
          <w:rFonts w:ascii="仿宋_GB2312" w:eastAsia="仿宋_GB2312"/>
          <w:sz w:val="32"/>
          <w:szCs w:val="32"/>
        </w:rPr>
      </w:pPr>
      <w:r>
        <w:rPr>
          <w:rFonts w:ascii="楷体_GB2312" w:eastAsia="楷体_GB2312"/>
          <w:sz w:val="32"/>
          <w:szCs w:val="32"/>
        </w:rPr>
        <w:t>25.</w:t>
      </w:r>
      <w:r>
        <w:rPr>
          <w:rFonts w:hint="eastAsia" w:ascii="楷体_GB2312" w:eastAsia="楷体_GB2312"/>
          <w:sz w:val="32"/>
          <w:szCs w:val="32"/>
        </w:rPr>
        <w:t>全面从严治党。</w:t>
      </w:r>
      <w:r>
        <w:rPr>
          <w:rFonts w:hint="eastAsia" w:ascii="仿宋_GB2312" w:eastAsia="仿宋_GB2312"/>
          <w:sz w:val="32"/>
          <w:szCs w:val="32"/>
        </w:rPr>
        <w:t>加强思想政治建设，牢固树立“四</w:t>
      </w:r>
      <w:r>
        <w:rPr>
          <w:rFonts w:hint="eastAsia" w:ascii="仿宋_GB2312" w:eastAsia="仿宋_GB2312"/>
          <w:sz w:val="32"/>
          <w:szCs w:val="32"/>
          <w:lang w:eastAsia="zh-CN"/>
        </w:rPr>
        <w:t>个</w:t>
      </w:r>
      <w:bookmarkStart w:id="0" w:name="_GoBack"/>
      <w:bookmarkEnd w:id="0"/>
      <w:r>
        <w:rPr>
          <w:rFonts w:hint="eastAsia" w:ascii="仿宋_GB2312" w:eastAsia="仿宋_GB2312"/>
          <w:sz w:val="32"/>
          <w:szCs w:val="32"/>
        </w:rPr>
        <w:t>意识”，运用“四种形态”，抓好监督执纪问责；加强纪律审查，深化制度建设；压实“两个责任”，强化党风廉政建设，全面从严管党治党，以党风带政风促民风。优化机构设置、人员配备，促进高效率管理。进一步强化执行意识，确保政令畅通。进一步健全执行的责任、考评、问责等机制，把落实执行情况作为干部奖惩、提拔使用和单位评先评优的重要依据，实施责任追究，严肃问责，保证各项措施落实到位，收到实效，见到成果。按照“整镇推进、整区提升”三年行动计划部署安排，扎实推进基层组织建设，抓好巩固提升，完善并推广社区大党委制，两新组织双覆盖工作，着力推进农村（社区）、两新组织、机关国有企事业单位的基层党建工作均衡发展、齐头并进，确保完成各领域年度目标任务，</w:t>
      </w:r>
      <w:r>
        <w:rPr>
          <w:rFonts w:hint="eastAsia" w:ascii="仿宋_GB2312" w:hAnsi="宋体" w:eastAsia="仿宋_GB2312"/>
          <w:sz w:val="32"/>
          <w:szCs w:val="32"/>
        </w:rPr>
        <w:t>积极打造基层党建精品示范带和基层党建工作特色群。</w:t>
      </w:r>
    </w:p>
    <w:p>
      <w:pPr>
        <w:autoSpaceDE w:val="0"/>
        <w:autoSpaceDN w:val="0"/>
        <w:adjustRightInd w:val="0"/>
        <w:spacing w:line="600" w:lineRule="exact"/>
        <w:ind w:firstLine="640" w:firstLineChars="200"/>
        <w:rPr>
          <w:rFonts w:ascii="仿宋_GB2312" w:hAnsi="仿宋" w:eastAsia="仿宋_GB2312" w:cs="宋体"/>
          <w:kern w:val="0"/>
          <w:sz w:val="32"/>
          <w:szCs w:val="32"/>
        </w:rPr>
      </w:pPr>
      <w:r>
        <w:rPr>
          <w:rFonts w:ascii="楷体_GB2312" w:hAnsi="仿宋" w:eastAsia="楷体_GB2312" w:cs="宋体"/>
          <w:kern w:val="0"/>
          <w:sz w:val="32"/>
          <w:szCs w:val="32"/>
        </w:rPr>
        <w:t>26.</w:t>
      </w:r>
      <w:r>
        <w:rPr>
          <w:rFonts w:hint="eastAsia" w:ascii="楷体_GB2312" w:hAnsi="仿宋" w:eastAsia="楷体_GB2312" w:cs="宋体"/>
          <w:kern w:val="0"/>
          <w:sz w:val="32"/>
          <w:szCs w:val="32"/>
        </w:rPr>
        <w:t>打造港区铁军队伍。</w:t>
      </w:r>
      <w:r>
        <w:rPr>
          <w:rFonts w:hint="eastAsia" w:ascii="仿宋_GB2312" w:hAnsi="仿宋" w:eastAsia="仿宋_GB2312" w:cs="宋体"/>
          <w:kern w:val="0"/>
          <w:sz w:val="32"/>
          <w:szCs w:val="32"/>
        </w:rPr>
        <w:t>开展“实干开新局、奋勇当铁军”为主题的思想大讨论</w:t>
      </w:r>
      <w:r>
        <w:rPr>
          <w:rFonts w:ascii="仿宋_GB2312" w:hAnsi="仿宋" w:eastAsia="仿宋_GB2312" w:cs="宋体"/>
          <w:kern w:val="0"/>
          <w:sz w:val="32"/>
          <w:szCs w:val="32"/>
        </w:rPr>
        <w:t>,</w:t>
      </w:r>
      <w:r>
        <w:rPr>
          <w:rFonts w:hint="eastAsia" w:ascii="仿宋_GB2312" w:hAnsi="仿宋" w:eastAsia="仿宋_GB2312" w:cs="宋体"/>
          <w:kern w:val="0"/>
          <w:sz w:val="32"/>
          <w:szCs w:val="32"/>
        </w:rPr>
        <w:t>进一步树立实干至上、行动至上、实绩至上的工作导向，形成具体抓、抓具体，现场抓、一线抓的行动氛围。深化干部人事改革</w:t>
      </w:r>
      <w:r>
        <w:rPr>
          <w:rFonts w:ascii="仿宋_GB2312" w:hAnsi="仿宋" w:eastAsia="仿宋_GB2312" w:cs="宋体"/>
          <w:kern w:val="0"/>
          <w:sz w:val="32"/>
          <w:szCs w:val="32"/>
        </w:rPr>
        <w:t>,</w:t>
      </w:r>
      <w:r>
        <w:rPr>
          <w:rFonts w:hint="eastAsia" w:ascii="仿宋_GB2312" w:hAnsi="仿宋" w:eastAsia="仿宋_GB2312" w:cs="宋体"/>
          <w:kern w:val="0"/>
          <w:sz w:val="32"/>
          <w:szCs w:val="32"/>
        </w:rPr>
        <w:t>围绕大招商、大建设等中心工作，按照开发区的功能定位和要求</w:t>
      </w:r>
      <w:r>
        <w:rPr>
          <w:rFonts w:ascii="仿宋_GB2312" w:hAnsi="仿宋" w:eastAsia="仿宋_GB2312" w:cs="宋体"/>
          <w:kern w:val="0"/>
          <w:sz w:val="32"/>
          <w:szCs w:val="32"/>
        </w:rPr>
        <w:t>,</w:t>
      </w:r>
      <w:r>
        <w:rPr>
          <w:rFonts w:hint="eastAsia" w:ascii="仿宋_GB2312" w:hAnsi="仿宋" w:eastAsia="仿宋_GB2312" w:cs="宋体"/>
          <w:kern w:val="0"/>
          <w:sz w:val="32"/>
          <w:szCs w:val="32"/>
        </w:rPr>
        <w:t>统筹机构和干部人才资源</w:t>
      </w:r>
      <w:r>
        <w:rPr>
          <w:rFonts w:ascii="仿宋_GB2312" w:hAnsi="仿宋" w:eastAsia="仿宋_GB2312" w:cs="宋体"/>
          <w:kern w:val="0"/>
          <w:sz w:val="32"/>
          <w:szCs w:val="32"/>
        </w:rPr>
        <w:t>,</w:t>
      </w:r>
      <w:r>
        <w:rPr>
          <w:rFonts w:hint="eastAsia" w:ascii="仿宋_GB2312" w:hAnsi="仿宋" w:eastAsia="仿宋_GB2312" w:cs="宋体"/>
          <w:kern w:val="0"/>
          <w:sz w:val="32"/>
          <w:szCs w:val="32"/>
        </w:rPr>
        <w:t>建立适合开发区特色的管理体制机制，着力打造和港区发展要求相匹配的港区铁军，做到作风最实、纪律最严、要求最高、落实最快、实效最好。</w:t>
      </w:r>
    </w:p>
    <w:p>
      <w:pPr>
        <w:spacing w:line="600" w:lineRule="exact"/>
        <w:ind w:firstLine="645"/>
        <w:rPr>
          <w:rFonts w:ascii="仿宋_GB2312" w:eastAsia="仿宋_GB2312"/>
          <w:sz w:val="32"/>
          <w:szCs w:val="32"/>
        </w:rPr>
      </w:pPr>
    </w:p>
    <w:p>
      <w:pPr>
        <w:autoSpaceDE w:val="0"/>
        <w:autoSpaceDN w:val="0"/>
        <w:adjustRightInd w:val="0"/>
        <w:spacing w:line="600" w:lineRule="exact"/>
        <w:rPr>
          <w:rFonts w:ascii="仿宋_GB2312" w:eastAsia="仿宋_GB2312" w:cs="仿宋_GB2312"/>
          <w:spacing w:val="-30"/>
          <w:sz w:val="32"/>
          <w:szCs w:val="32"/>
          <w:lang w:val="zh-CN"/>
        </w:rPr>
      </w:pPr>
    </w:p>
    <w:sectPr>
      <w:headerReference r:id="rId3" w:type="default"/>
      <w:footerReference r:id="rId4" w:type="default"/>
      <w:footerReference r:id="rId5" w:type="even"/>
      <w:pgSz w:w="11907" w:h="16840"/>
      <w:pgMar w:top="2098" w:right="1588" w:bottom="2098" w:left="1588" w:header="720" w:footer="72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Angsana New">
    <w:altName w:val="Noto Serif"/>
    <w:panose1 w:val="02020603050405020304"/>
    <w:charset w:val="00"/>
    <w:family w:val="roman"/>
    <w:pitch w:val="default"/>
    <w:sig w:usb0="00000000" w:usb1="00000000" w:usb2="00000000" w:usb3="00000000" w:csb0="0001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erif">
    <w:panose1 w:val="02020502060505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- 3 -</w:t>
    </w:r>
    <w:r>
      <w:rPr>
        <w:rStyle w:val="8"/>
        <w:rFonts w:ascii="宋体" w:hAnsi="宋体"/>
        <w:sz w:val="28"/>
        <w:szCs w:val="28"/>
      </w:rPr>
      <w:fldChar w:fldCharType="end"/>
    </w:r>
  </w:p>
  <w:p>
    <w:pPr>
      <w:pStyle w:val="4"/>
      <w:ind w:right="360" w:firstLine="360"/>
      <w:rPr>
        <w:rFonts w:ascii="Angsana New" w:hAnsi="Angsana New" w:cs="Angsana New"/>
        <w:lang w:bidi="th-T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E3A"/>
    <w:rsid w:val="0000198B"/>
    <w:rsid w:val="00004260"/>
    <w:rsid w:val="000154A2"/>
    <w:rsid w:val="00016206"/>
    <w:rsid w:val="00016B3C"/>
    <w:rsid w:val="000216E6"/>
    <w:rsid w:val="000229AA"/>
    <w:rsid w:val="00025213"/>
    <w:rsid w:val="00025E55"/>
    <w:rsid w:val="00032E6D"/>
    <w:rsid w:val="0003450A"/>
    <w:rsid w:val="000358FF"/>
    <w:rsid w:val="00037ADF"/>
    <w:rsid w:val="00041640"/>
    <w:rsid w:val="00042850"/>
    <w:rsid w:val="0005444F"/>
    <w:rsid w:val="00054682"/>
    <w:rsid w:val="00054BF0"/>
    <w:rsid w:val="000552BB"/>
    <w:rsid w:val="00065A61"/>
    <w:rsid w:val="000719A3"/>
    <w:rsid w:val="000742B4"/>
    <w:rsid w:val="00081879"/>
    <w:rsid w:val="0008221D"/>
    <w:rsid w:val="00083409"/>
    <w:rsid w:val="00093C97"/>
    <w:rsid w:val="0009531E"/>
    <w:rsid w:val="00095C2C"/>
    <w:rsid w:val="0009605B"/>
    <w:rsid w:val="000A2715"/>
    <w:rsid w:val="000A2E8F"/>
    <w:rsid w:val="000A59F3"/>
    <w:rsid w:val="000A650D"/>
    <w:rsid w:val="000A7A25"/>
    <w:rsid w:val="000B00E2"/>
    <w:rsid w:val="000B16A7"/>
    <w:rsid w:val="000B23DC"/>
    <w:rsid w:val="000B5C6B"/>
    <w:rsid w:val="000C048C"/>
    <w:rsid w:val="000C0D6D"/>
    <w:rsid w:val="000C7CCE"/>
    <w:rsid w:val="000D2530"/>
    <w:rsid w:val="000D400C"/>
    <w:rsid w:val="000D58AE"/>
    <w:rsid w:val="000E021A"/>
    <w:rsid w:val="000E538C"/>
    <w:rsid w:val="000F2450"/>
    <w:rsid w:val="000F3671"/>
    <w:rsid w:val="000F7F61"/>
    <w:rsid w:val="00105FB6"/>
    <w:rsid w:val="0011039B"/>
    <w:rsid w:val="0011127D"/>
    <w:rsid w:val="001133ED"/>
    <w:rsid w:val="0011650E"/>
    <w:rsid w:val="00116555"/>
    <w:rsid w:val="00116966"/>
    <w:rsid w:val="00117FE1"/>
    <w:rsid w:val="00120DD4"/>
    <w:rsid w:val="00123230"/>
    <w:rsid w:val="00123FB2"/>
    <w:rsid w:val="00124A18"/>
    <w:rsid w:val="001263D7"/>
    <w:rsid w:val="001268FB"/>
    <w:rsid w:val="00130298"/>
    <w:rsid w:val="00131056"/>
    <w:rsid w:val="001322D8"/>
    <w:rsid w:val="00132519"/>
    <w:rsid w:val="0013789D"/>
    <w:rsid w:val="00140533"/>
    <w:rsid w:val="00141E6F"/>
    <w:rsid w:val="00144A29"/>
    <w:rsid w:val="0014567D"/>
    <w:rsid w:val="00147863"/>
    <w:rsid w:val="00147871"/>
    <w:rsid w:val="00150AA8"/>
    <w:rsid w:val="00150EB2"/>
    <w:rsid w:val="001574ED"/>
    <w:rsid w:val="0017026D"/>
    <w:rsid w:val="00170589"/>
    <w:rsid w:val="00170915"/>
    <w:rsid w:val="00172C4E"/>
    <w:rsid w:val="00180A00"/>
    <w:rsid w:val="00180B32"/>
    <w:rsid w:val="0018301C"/>
    <w:rsid w:val="00184E3A"/>
    <w:rsid w:val="0018536D"/>
    <w:rsid w:val="00190947"/>
    <w:rsid w:val="001970B4"/>
    <w:rsid w:val="001A2CE5"/>
    <w:rsid w:val="001C08AF"/>
    <w:rsid w:val="001C1478"/>
    <w:rsid w:val="001C4446"/>
    <w:rsid w:val="001C591C"/>
    <w:rsid w:val="001D58DF"/>
    <w:rsid w:val="001E223D"/>
    <w:rsid w:val="001E684C"/>
    <w:rsid w:val="001E7556"/>
    <w:rsid w:val="001F3DDD"/>
    <w:rsid w:val="001F49E8"/>
    <w:rsid w:val="00204946"/>
    <w:rsid w:val="00205674"/>
    <w:rsid w:val="00227B9E"/>
    <w:rsid w:val="00227D5A"/>
    <w:rsid w:val="00233901"/>
    <w:rsid w:val="00234897"/>
    <w:rsid w:val="0023602B"/>
    <w:rsid w:val="00241B62"/>
    <w:rsid w:val="00251AE0"/>
    <w:rsid w:val="00261090"/>
    <w:rsid w:val="00261EA8"/>
    <w:rsid w:val="00264C30"/>
    <w:rsid w:val="002721B3"/>
    <w:rsid w:val="002766CD"/>
    <w:rsid w:val="00281AD3"/>
    <w:rsid w:val="002922BF"/>
    <w:rsid w:val="00293E8B"/>
    <w:rsid w:val="00295670"/>
    <w:rsid w:val="002A3406"/>
    <w:rsid w:val="002A46A9"/>
    <w:rsid w:val="002B127D"/>
    <w:rsid w:val="002B2C6F"/>
    <w:rsid w:val="002B2F4C"/>
    <w:rsid w:val="002B629C"/>
    <w:rsid w:val="002B786A"/>
    <w:rsid w:val="002C0561"/>
    <w:rsid w:val="002C35BE"/>
    <w:rsid w:val="002C6BBD"/>
    <w:rsid w:val="002C7A9C"/>
    <w:rsid w:val="002E1982"/>
    <w:rsid w:val="002E34AF"/>
    <w:rsid w:val="002E683B"/>
    <w:rsid w:val="002F131B"/>
    <w:rsid w:val="002F18A4"/>
    <w:rsid w:val="002F4A31"/>
    <w:rsid w:val="003009EC"/>
    <w:rsid w:val="00301473"/>
    <w:rsid w:val="0030257D"/>
    <w:rsid w:val="003036AB"/>
    <w:rsid w:val="00315578"/>
    <w:rsid w:val="00315689"/>
    <w:rsid w:val="003160ED"/>
    <w:rsid w:val="0031703D"/>
    <w:rsid w:val="00321F33"/>
    <w:rsid w:val="0032210B"/>
    <w:rsid w:val="00324F3A"/>
    <w:rsid w:val="00325C49"/>
    <w:rsid w:val="00326291"/>
    <w:rsid w:val="003376FA"/>
    <w:rsid w:val="00341CB7"/>
    <w:rsid w:val="00345ADA"/>
    <w:rsid w:val="00350AE7"/>
    <w:rsid w:val="003548C2"/>
    <w:rsid w:val="00354994"/>
    <w:rsid w:val="00355A0A"/>
    <w:rsid w:val="003615A4"/>
    <w:rsid w:val="00362280"/>
    <w:rsid w:val="00362442"/>
    <w:rsid w:val="00365CB2"/>
    <w:rsid w:val="003737F9"/>
    <w:rsid w:val="003740B4"/>
    <w:rsid w:val="00374E99"/>
    <w:rsid w:val="00376402"/>
    <w:rsid w:val="003857B5"/>
    <w:rsid w:val="00394C0F"/>
    <w:rsid w:val="00395A06"/>
    <w:rsid w:val="00395C60"/>
    <w:rsid w:val="003A04B7"/>
    <w:rsid w:val="003A379C"/>
    <w:rsid w:val="003A3B78"/>
    <w:rsid w:val="003A438D"/>
    <w:rsid w:val="003A4531"/>
    <w:rsid w:val="003A5ACE"/>
    <w:rsid w:val="003A5DE2"/>
    <w:rsid w:val="003B1FEA"/>
    <w:rsid w:val="003B268F"/>
    <w:rsid w:val="003B3508"/>
    <w:rsid w:val="003B5E0E"/>
    <w:rsid w:val="003B616D"/>
    <w:rsid w:val="003B7FC5"/>
    <w:rsid w:val="003C4254"/>
    <w:rsid w:val="003C49F8"/>
    <w:rsid w:val="003C6837"/>
    <w:rsid w:val="003D25E7"/>
    <w:rsid w:val="003D50A1"/>
    <w:rsid w:val="003D5C5E"/>
    <w:rsid w:val="003E387E"/>
    <w:rsid w:val="003F102F"/>
    <w:rsid w:val="003F48F4"/>
    <w:rsid w:val="003F7F84"/>
    <w:rsid w:val="004045BD"/>
    <w:rsid w:val="00404FED"/>
    <w:rsid w:val="004117A0"/>
    <w:rsid w:val="00412306"/>
    <w:rsid w:val="0042153B"/>
    <w:rsid w:val="00427A24"/>
    <w:rsid w:val="004305B1"/>
    <w:rsid w:val="00432E9B"/>
    <w:rsid w:val="0043384F"/>
    <w:rsid w:val="00433E1A"/>
    <w:rsid w:val="00435A82"/>
    <w:rsid w:val="00436D0C"/>
    <w:rsid w:val="00443143"/>
    <w:rsid w:val="00444093"/>
    <w:rsid w:val="004443EC"/>
    <w:rsid w:val="00445328"/>
    <w:rsid w:val="00445DB2"/>
    <w:rsid w:val="00450332"/>
    <w:rsid w:val="004510B5"/>
    <w:rsid w:val="004606D7"/>
    <w:rsid w:val="00460DBB"/>
    <w:rsid w:val="00465B5A"/>
    <w:rsid w:val="0047691B"/>
    <w:rsid w:val="004770AD"/>
    <w:rsid w:val="00480D54"/>
    <w:rsid w:val="0048239F"/>
    <w:rsid w:val="00483129"/>
    <w:rsid w:val="004843F8"/>
    <w:rsid w:val="0048513D"/>
    <w:rsid w:val="00487A87"/>
    <w:rsid w:val="00487D2C"/>
    <w:rsid w:val="00490BAD"/>
    <w:rsid w:val="00496D53"/>
    <w:rsid w:val="004973AC"/>
    <w:rsid w:val="00497D40"/>
    <w:rsid w:val="004A3A83"/>
    <w:rsid w:val="004A4C67"/>
    <w:rsid w:val="004B6FD3"/>
    <w:rsid w:val="004C0705"/>
    <w:rsid w:val="004C0ECB"/>
    <w:rsid w:val="004C18F5"/>
    <w:rsid w:val="004C548E"/>
    <w:rsid w:val="004C6C27"/>
    <w:rsid w:val="004C7062"/>
    <w:rsid w:val="004C71F5"/>
    <w:rsid w:val="004D2DC2"/>
    <w:rsid w:val="004D3EFA"/>
    <w:rsid w:val="004D62C7"/>
    <w:rsid w:val="004D7F0E"/>
    <w:rsid w:val="004E00E8"/>
    <w:rsid w:val="004E18CF"/>
    <w:rsid w:val="004E261F"/>
    <w:rsid w:val="004E6002"/>
    <w:rsid w:val="004E72E2"/>
    <w:rsid w:val="004E7FA2"/>
    <w:rsid w:val="004F06E9"/>
    <w:rsid w:val="004F5609"/>
    <w:rsid w:val="004F6431"/>
    <w:rsid w:val="0050229B"/>
    <w:rsid w:val="005041E5"/>
    <w:rsid w:val="00505E0D"/>
    <w:rsid w:val="00507A1C"/>
    <w:rsid w:val="00507B47"/>
    <w:rsid w:val="00507D27"/>
    <w:rsid w:val="00510DE9"/>
    <w:rsid w:val="005115FB"/>
    <w:rsid w:val="0051594F"/>
    <w:rsid w:val="00516F98"/>
    <w:rsid w:val="0052047C"/>
    <w:rsid w:val="00522747"/>
    <w:rsid w:val="00524C85"/>
    <w:rsid w:val="005265C2"/>
    <w:rsid w:val="005273A4"/>
    <w:rsid w:val="00530F62"/>
    <w:rsid w:val="00530F6C"/>
    <w:rsid w:val="0053122D"/>
    <w:rsid w:val="00534E10"/>
    <w:rsid w:val="0053644D"/>
    <w:rsid w:val="00537B09"/>
    <w:rsid w:val="0054520C"/>
    <w:rsid w:val="005452FD"/>
    <w:rsid w:val="0055424F"/>
    <w:rsid w:val="00554939"/>
    <w:rsid w:val="00555F18"/>
    <w:rsid w:val="005570DA"/>
    <w:rsid w:val="00560179"/>
    <w:rsid w:val="00562B75"/>
    <w:rsid w:val="0056711B"/>
    <w:rsid w:val="00570096"/>
    <w:rsid w:val="005709F6"/>
    <w:rsid w:val="00570D83"/>
    <w:rsid w:val="0057559B"/>
    <w:rsid w:val="00581357"/>
    <w:rsid w:val="00584036"/>
    <w:rsid w:val="005856D5"/>
    <w:rsid w:val="00586265"/>
    <w:rsid w:val="00587AB2"/>
    <w:rsid w:val="00591996"/>
    <w:rsid w:val="00592676"/>
    <w:rsid w:val="005A0F57"/>
    <w:rsid w:val="005A5510"/>
    <w:rsid w:val="005A7577"/>
    <w:rsid w:val="005A7ED9"/>
    <w:rsid w:val="005B400B"/>
    <w:rsid w:val="005B4FB4"/>
    <w:rsid w:val="005B537C"/>
    <w:rsid w:val="005C1434"/>
    <w:rsid w:val="005C1B0F"/>
    <w:rsid w:val="005C2297"/>
    <w:rsid w:val="005C5EB9"/>
    <w:rsid w:val="005C6BEB"/>
    <w:rsid w:val="005C701A"/>
    <w:rsid w:val="005D0B7C"/>
    <w:rsid w:val="005D0C4B"/>
    <w:rsid w:val="005D207B"/>
    <w:rsid w:val="005D27BD"/>
    <w:rsid w:val="005D3BB0"/>
    <w:rsid w:val="005D496C"/>
    <w:rsid w:val="005D4B92"/>
    <w:rsid w:val="005E3B00"/>
    <w:rsid w:val="005E5B65"/>
    <w:rsid w:val="005E65F4"/>
    <w:rsid w:val="005F24DE"/>
    <w:rsid w:val="005F500F"/>
    <w:rsid w:val="00600802"/>
    <w:rsid w:val="006008C4"/>
    <w:rsid w:val="00600F5D"/>
    <w:rsid w:val="0060374B"/>
    <w:rsid w:val="006048B1"/>
    <w:rsid w:val="0060767F"/>
    <w:rsid w:val="00615651"/>
    <w:rsid w:val="00615A2F"/>
    <w:rsid w:val="0061755B"/>
    <w:rsid w:val="00621A5E"/>
    <w:rsid w:val="00623D0E"/>
    <w:rsid w:val="00632B24"/>
    <w:rsid w:val="0063352A"/>
    <w:rsid w:val="0063362A"/>
    <w:rsid w:val="006361B6"/>
    <w:rsid w:val="006408FE"/>
    <w:rsid w:val="006419D4"/>
    <w:rsid w:val="006471E3"/>
    <w:rsid w:val="006479F3"/>
    <w:rsid w:val="00650067"/>
    <w:rsid w:val="00654498"/>
    <w:rsid w:val="00661293"/>
    <w:rsid w:val="00665F4D"/>
    <w:rsid w:val="00670DBA"/>
    <w:rsid w:val="00673BAE"/>
    <w:rsid w:val="00674856"/>
    <w:rsid w:val="0067598F"/>
    <w:rsid w:val="00676AA7"/>
    <w:rsid w:val="006770D2"/>
    <w:rsid w:val="00680D41"/>
    <w:rsid w:val="0068196C"/>
    <w:rsid w:val="00682926"/>
    <w:rsid w:val="006829B7"/>
    <w:rsid w:val="00691B8A"/>
    <w:rsid w:val="006921CE"/>
    <w:rsid w:val="006955F0"/>
    <w:rsid w:val="00697F85"/>
    <w:rsid w:val="006A3E53"/>
    <w:rsid w:val="006A537F"/>
    <w:rsid w:val="006A6601"/>
    <w:rsid w:val="006A6E23"/>
    <w:rsid w:val="006B02CF"/>
    <w:rsid w:val="006B2CFA"/>
    <w:rsid w:val="006B3A39"/>
    <w:rsid w:val="006B7548"/>
    <w:rsid w:val="006C550E"/>
    <w:rsid w:val="006C5ED2"/>
    <w:rsid w:val="006C69C4"/>
    <w:rsid w:val="006D634F"/>
    <w:rsid w:val="006D641E"/>
    <w:rsid w:val="006D68BC"/>
    <w:rsid w:val="006E215B"/>
    <w:rsid w:val="006E2F3A"/>
    <w:rsid w:val="006E3AED"/>
    <w:rsid w:val="006F3D6D"/>
    <w:rsid w:val="006F764B"/>
    <w:rsid w:val="0070176B"/>
    <w:rsid w:val="00706081"/>
    <w:rsid w:val="00713180"/>
    <w:rsid w:val="00715789"/>
    <w:rsid w:val="00716C22"/>
    <w:rsid w:val="0073053F"/>
    <w:rsid w:val="00731668"/>
    <w:rsid w:val="00734F31"/>
    <w:rsid w:val="00741693"/>
    <w:rsid w:val="00742930"/>
    <w:rsid w:val="007454C2"/>
    <w:rsid w:val="00750976"/>
    <w:rsid w:val="00750A1B"/>
    <w:rsid w:val="00750DAC"/>
    <w:rsid w:val="0075168D"/>
    <w:rsid w:val="00752DDB"/>
    <w:rsid w:val="00753B0E"/>
    <w:rsid w:val="0075423B"/>
    <w:rsid w:val="00756234"/>
    <w:rsid w:val="00757C4D"/>
    <w:rsid w:val="00763A8D"/>
    <w:rsid w:val="00766EB3"/>
    <w:rsid w:val="00770AD9"/>
    <w:rsid w:val="00774E4D"/>
    <w:rsid w:val="00775258"/>
    <w:rsid w:val="00776B45"/>
    <w:rsid w:val="00781CA5"/>
    <w:rsid w:val="0078337F"/>
    <w:rsid w:val="007851AA"/>
    <w:rsid w:val="00785451"/>
    <w:rsid w:val="00785EB5"/>
    <w:rsid w:val="00796350"/>
    <w:rsid w:val="007A1689"/>
    <w:rsid w:val="007A19B0"/>
    <w:rsid w:val="007A2F2F"/>
    <w:rsid w:val="007A3B79"/>
    <w:rsid w:val="007A5AB2"/>
    <w:rsid w:val="007A64C6"/>
    <w:rsid w:val="007B1ADD"/>
    <w:rsid w:val="007B1B00"/>
    <w:rsid w:val="007B21B0"/>
    <w:rsid w:val="007B2EF5"/>
    <w:rsid w:val="007B2FD3"/>
    <w:rsid w:val="007B4D36"/>
    <w:rsid w:val="007B75AB"/>
    <w:rsid w:val="007C182A"/>
    <w:rsid w:val="007C20CB"/>
    <w:rsid w:val="007C5B44"/>
    <w:rsid w:val="007C62D3"/>
    <w:rsid w:val="007C7FDA"/>
    <w:rsid w:val="007D1466"/>
    <w:rsid w:val="007D1995"/>
    <w:rsid w:val="007D244F"/>
    <w:rsid w:val="007D302D"/>
    <w:rsid w:val="007D395E"/>
    <w:rsid w:val="007D49BE"/>
    <w:rsid w:val="007D5D8D"/>
    <w:rsid w:val="007D6288"/>
    <w:rsid w:val="007E27C3"/>
    <w:rsid w:val="007F2309"/>
    <w:rsid w:val="007F2404"/>
    <w:rsid w:val="007F4C9C"/>
    <w:rsid w:val="00804B72"/>
    <w:rsid w:val="00806CA0"/>
    <w:rsid w:val="00810B08"/>
    <w:rsid w:val="00810DCA"/>
    <w:rsid w:val="00821603"/>
    <w:rsid w:val="00822081"/>
    <w:rsid w:val="008226DD"/>
    <w:rsid w:val="00822DA7"/>
    <w:rsid w:val="00824E0D"/>
    <w:rsid w:val="00831AB5"/>
    <w:rsid w:val="0083212E"/>
    <w:rsid w:val="008330DD"/>
    <w:rsid w:val="00834040"/>
    <w:rsid w:val="00840720"/>
    <w:rsid w:val="00844347"/>
    <w:rsid w:val="008458AB"/>
    <w:rsid w:val="0084624F"/>
    <w:rsid w:val="008504A3"/>
    <w:rsid w:val="00855BE9"/>
    <w:rsid w:val="008568CE"/>
    <w:rsid w:val="008574EF"/>
    <w:rsid w:val="0086009B"/>
    <w:rsid w:val="00864D2A"/>
    <w:rsid w:val="008671CC"/>
    <w:rsid w:val="0087372D"/>
    <w:rsid w:val="00875E8F"/>
    <w:rsid w:val="008772B9"/>
    <w:rsid w:val="008914CC"/>
    <w:rsid w:val="00892861"/>
    <w:rsid w:val="00895E3B"/>
    <w:rsid w:val="008A0BD3"/>
    <w:rsid w:val="008A19F3"/>
    <w:rsid w:val="008A2B10"/>
    <w:rsid w:val="008A4EFA"/>
    <w:rsid w:val="008A5DE6"/>
    <w:rsid w:val="008B3C47"/>
    <w:rsid w:val="008B554C"/>
    <w:rsid w:val="008B6E42"/>
    <w:rsid w:val="008C0A4F"/>
    <w:rsid w:val="008C0AB9"/>
    <w:rsid w:val="008C12CA"/>
    <w:rsid w:val="008C22AD"/>
    <w:rsid w:val="008C2DB0"/>
    <w:rsid w:val="008C4352"/>
    <w:rsid w:val="008C4ADE"/>
    <w:rsid w:val="008C4BCE"/>
    <w:rsid w:val="008C5A3A"/>
    <w:rsid w:val="008C72FE"/>
    <w:rsid w:val="008D2879"/>
    <w:rsid w:val="008D7A6D"/>
    <w:rsid w:val="008E1013"/>
    <w:rsid w:val="008E5238"/>
    <w:rsid w:val="008E5C0D"/>
    <w:rsid w:val="008E7503"/>
    <w:rsid w:val="008E767D"/>
    <w:rsid w:val="008F0C61"/>
    <w:rsid w:val="008F2B56"/>
    <w:rsid w:val="008F2C30"/>
    <w:rsid w:val="008F3056"/>
    <w:rsid w:val="008F5898"/>
    <w:rsid w:val="008F78E5"/>
    <w:rsid w:val="00900CA2"/>
    <w:rsid w:val="00900F62"/>
    <w:rsid w:val="009010EF"/>
    <w:rsid w:val="00904592"/>
    <w:rsid w:val="00905B47"/>
    <w:rsid w:val="00907862"/>
    <w:rsid w:val="00907ACD"/>
    <w:rsid w:val="00910AB9"/>
    <w:rsid w:val="00913667"/>
    <w:rsid w:val="009142F2"/>
    <w:rsid w:val="00914467"/>
    <w:rsid w:val="00923059"/>
    <w:rsid w:val="009249B8"/>
    <w:rsid w:val="00925E2E"/>
    <w:rsid w:val="00927B64"/>
    <w:rsid w:val="0093216D"/>
    <w:rsid w:val="00940383"/>
    <w:rsid w:val="00941DAE"/>
    <w:rsid w:val="0095084F"/>
    <w:rsid w:val="00951824"/>
    <w:rsid w:val="009549B2"/>
    <w:rsid w:val="00956DC4"/>
    <w:rsid w:val="009576DD"/>
    <w:rsid w:val="00963C1A"/>
    <w:rsid w:val="00963ECA"/>
    <w:rsid w:val="0096469C"/>
    <w:rsid w:val="009658A0"/>
    <w:rsid w:val="00965E95"/>
    <w:rsid w:val="00967458"/>
    <w:rsid w:val="0097199D"/>
    <w:rsid w:val="00972A52"/>
    <w:rsid w:val="0097339D"/>
    <w:rsid w:val="009771AE"/>
    <w:rsid w:val="0098395D"/>
    <w:rsid w:val="00984F46"/>
    <w:rsid w:val="00985CAE"/>
    <w:rsid w:val="00986182"/>
    <w:rsid w:val="00987197"/>
    <w:rsid w:val="00991509"/>
    <w:rsid w:val="00992CAA"/>
    <w:rsid w:val="0099521B"/>
    <w:rsid w:val="009A5397"/>
    <w:rsid w:val="009A5768"/>
    <w:rsid w:val="009B54E1"/>
    <w:rsid w:val="009B5C72"/>
    <w:rsid w:val="009C014B"/>
    <w:rsid w:val="009C1717"/>
    <w:rsid w:val="009C1C59"/>
    <w:rsid w:val="009C1DFF"/>
    <w:rsid w:val="009C24C3"/>
    <w:rsid w:val="009C2BFE"/>
    <w:rsid w:val="009C32E8"/>
    <w:rsid w:val="009C42F5"/>
    <w:rsid w:val="009C4A17"/>
    <w:rsid w:val="009D006B"/>
    <w:rsid w:val="009D2ED2"/>
    <w:rsid w:val="009D417D"/>
    <w:rsid w:val="009D511D"/>
    <w:rsid w:val="009D5458"/>
    <w:rsid w:val="009D6C4D"/>
    <w:rsid w:val="009D76A9"/>
    <w:rsid w:val="009E168B"/>
    <w:rsid w:val="009E17CE"/>
    <w:rsid w:val="009E26DC"/>
    <w:rsid w:val="009E3337"/>
    <w:rsid w:val="009E71BC"/>
    <w:rsid w:val="009E731F"/>
    <w:rsid w:val="009E77EC"/>
    <w:rsid w:val="009F2CC3"/>
    <w:rsid w:val="009F39FD"/>
    <w:rsid w:val="009F5F6A"/>
    <w:rsid w:val="00A000A9"/>
    <w:rsid w:val="00A068F1"/>
    <w:rsid w:val="00A06F9E"/>
    <w:rsid w:val="00A1318D"/>
    <w:rsid w:val="00A136BD"/>
    <w:rsid w:val="00A154A7"/>
    <w:rsid w:val="00A16244"/>
    <w:rsid w:val="00A200C0"/>
    <w:rsid w:val="00A254E5"/>
    <w:rsid w:val="00A2590A"/>
    <w:rsid w:val="00A2602B"/>
    <w:rsid w:val="00A272E2"/>
    <w:rsid w:val="00A31C80"/>
    <w:rsid w:val="00A32128"/>
    <w:rsid w:val="00A342D9"/>
    <w:rsid w:val="00A343DD"/>
    <w:rsid w:val="00A3468D"/>
    <w:rsid w:val="00A34A6F"/>
    <w:rsid w:val="00A355BB"/>
    <w:rsid w:val="00A4057E"/>
    <w:rsid w:val="00A42FDA"/>
    <w:rsid w:val="00A51073"/>
    <w:rsid w:val="00A57141"/>
    <w:rsid w:val="00A60891"/>
    <w:rsid w:val="00A61615"/>
    <w:rsid w:val="00A62A43"/>
    <w:rsid w:val="00A662DA"/>
    <w:rsid w:val="00A700F6"/>
    <w:rsid w:val="00A72177"/>
    <w:rsid w:val="00A74759"/>
    <w:rsid w:val="00A74E19"/>
    <w:rsid w:val="00A7718E"/>
    <w:rsid w:val="00A7775B"/>
    <w:rsid w:val="00A85F27"/>
    <w:rsid w:val="00A86273"/>
    <w:rsid w:val="00A86EEA"/>
    <w:rsid w:val="00A9131C"/>
    <w:rsid w:val="00A91A00"/>
    <w:rsid w:val="00A94616"/>
    <w:rsid w:val="00A97319"/>
    <w:rsid w:val="00AA0F21"/>
    <w:rsid w:val="00AA2027"/>
    <w:rsid w:val="00AA2931"/>
    <w:rsid w:val="00AA2E6F"/>
    <w:rsid w:val="00AA69B7"/>
    <w:rsid w:val="00AB2F3E"/>
    <w:rsid w:val="00AB7F7C"/>
    <w:rsid w:val="00AC0C9A"/>
    <w:rsid w:val="00AC0E86"/>
    <w:rsid w:val="00AC56FF"/>
    <w:rsid w:val="00AC69A0"/>
    <w:rsid w:val="00AD46CB"/>
    <w:rsid w:val="00AD4E65"/>
    <w:rsid w:val="00AD6079"/>
    <w:rsid w:val="00AD78A4"/>
    <w:rsid w:val="00AE1ED3"/>
    <w:rsid w:val="00AE2C76"/>
    <w:rsid w:val="00AE5CAA"/>
    <w:rsid w:val="00AF1355"/>
    <w:rsid w:val="00AF14B4"/>
    <w:rsid w:val="00AF15A4"/>
    <w:rsid w:val="00AF52FC"/>
    <w:rsid w:val="00AF694D"/>
    <w:rsid w:val="00AF76FA"/>
    <w:rsid w:val="00B1428E"/>
    <w:rsid w:val="00B14A85"/>
    <w:rsid w:val="00B16E70"/>
    <w:rsid w:val="00B228F2"/>
    <w:rsid w:val="00B22B30"/>
    <w:rsid w:val="00B248BF"/>
    <w:rsid w:val="00B30541"/>
    <w:rsid w:val="00B31919"/>
    <w:rsid w:val="00B3262E"/>
    <w:rsid w:val="00B346CB"/>
    <w:rsid w:val="00B34D75"/>
    <w:rsid w:val="00B34D94"/>
    <w:rsid w:val="00B36F57"/>
    <w:rsid w:val="00B451BD"/>
    <w:rsid w:val="00B466F3"/>
    <w:rsid w:val="00B4773A"/>
    <w:rsid w:val="00B51557"/>
    <w:rsid w:val="00B534B9"/>
    <w:rsid w:val="00B5507D"/>
    <w:rsid w:val="00B55E07"/>
    <w:rsid w:val="00B5738B"/>
    <w:rsid w:val="00B61031"/>
    <w:rsid w:val="00B614FD"/>
    <w:rsid w:val="00B61B48"/>
    <w:rsid w:val="00B64295"/>
    <w:rsid w:val="00B6593D"/>
    <w:rsid w:val="00B67BBB"/>
    <w:rsid w:val="00B71119"/>
    <w:rsid w:val="00B75E49"/>
    <w:rsid w:val="00B8027E"/>
    <w:rsid w:val="00B8087C"/>
    <w:rsid w:val="00B82541"/>
    <w:rsid w:val="00B82910"/>
    <w:rsid w:val="00B8346B"/>
    <w:rsid w:val="00B8614F"/>
    <w:rsid w:val="00B90D69"/>
    <w:rsid w:val="00B94BBA"/>
    <w:rsid w:val="00B97DC0"/>
    <w:rsid w:val="00BA0B92"/>
    <w:rsid w:val="00BA13D0"/>
    <w:rsid w:val="00BA31DA"/>
    <w:rsid w:val="00BA5B07"/>
    <w:rsid w:val="00BA72F4"/>
    <w:rsid w:val="00BB6A64"/>
    <w:rsid w:val="00BC5C04"/>
    <w:rsid w:val="00BC6132"/>
    <w:rsid w:val="00BC67CF"/>
    <w:rsid w:val="00BC7982"/>
    <w:rsid w:val="00BD130D"/>
    <w:rsid w:val="00BD14C1"/>
    <w:rsid w:val="00BD1748"/>
    <w:rsid w:val="00BD1C67"/>
    <w:rsid w:val="00BD610E"/>
    <w:rsid w:val="00BD76FB"/>
    <w:rsid w:val="00BE034B"/>
    <w:rsid w:val="00BE1C28"/>
    <w:rsid w:val="00BE4A7D"/>
    <w:rsid w:val="00BE4AE7"/>
    <w:rsid w:val="00BE4D27"/>
    <w:rsid w:val="00BE5C7A"/>
    <w:rsid w:val="00BE6754"/>
    <w:rsid w:val="00BE7454"/>
    <w:rsid w:val="00BF334C"/>
    <w:rsid w:val="00BF37F9"/>
    <w:rsid w:val="00BF3CA1"/>
    <w:rsid w:val="00BF5187"/>
    <w:rsid w:val="00C12F9C"/>
    <w:rsid w:val="00C2276B"/>
    <w:rsid w:val="00C25372"/>
    <w:rsid w:val="00C259F7"/>
    <w:rsid w:val="00C302DD"/>
    <w:rsid w:val="00C32EE3"/>
    <w:rsid w:val="00C35207"/>
    <w:rsid w:val="00C3697B"/>
    <w:rsid w:val="00C4361A"/>
    <w:rsid w:val="00C474C8"/>
    <w:rsid w:val="00C509C4"/>
    <w:rsid w:val="00C514ED"/>
    <w:rsid w:val="00C531AC"/>
    <w:rsid w:val="00C54DA4"/>
    <w:rsid w:val="00C67656"/>
    <w:rsid w:val="00C7033E"/>
    <w:rsid w:val="00C71B2B"/>
    <w:rsid w:val="00C7299F"/>
    <w:rsid w:val="00C73EDA"/>
    <w:rsid w:val="00C75423"/>
    <w:rsid w:val="00C757DD"/>
    <w:rsid w:val="00C77459"/>
    <w:rsid w:val="00C82DDB"/>
    <w:rsid w:val="00C848F2"/>
    <w:rsid w:val="00C85621"/>
    <w:rsid w:val="00C8562A"/>
    <w:rsid w:val="00C87735"/>
    <w:rsid w:val="00C87C6F"/>
    <w:rsid w:val="00C923E9"/>
    <w:rsid w:val="00C928F8"/>
    <w:rsid w:val="00C929BD"/>
    <w:rsid w:val="00C94C79"/>
    <w:rsid w:val="00C95FA8"/>
    <w:rsid w:val="00CA3561"/>
    <w:rsid w:val="00CA45B0"/>
    <w:rsid w:val="00CB168E"/>
    <w:rsid w:val="00CB3778"/>
    <w:rsid w:val="00CB3ADF"/>
    <w:rsid w:val="00CC165D"/>
    <w:rsid w:val="00CC2807"/>
    <w:rsid w:val="00CC5BED"/>
    <w:rsid w:val="00CC6374"/>
    <w:rsid w:val="00CC6A19"/>
    <w:rsid w:val="00CC74FC"/>
    <w:rsid w:val="00CC7DA3"/>
    <w:rsid w:val="00CD025F"/>
    <w:rsid w:val="00CD1315"/>
    <w:rsid w:val="00CD3AA4"/>
    <w:rsid w:val="00CD49C9"/>
    <w:rsid w:val="00CE05A1"/>
    <w:rsid w:val="00CE5DC2"/>
    <w:rsid w:val="00CF072B"/>
    <w:rsid w:val="00CF2842"/>
    <w:rsid w:val="00CF2B70"/>
    <w:rsid w:val="00CF2D39"/>
    <w:rsid w:val="00CF2F59"/>
    <w:rsid w:val="00CF3679"/>
    <w:rsid w:val="00CF6631"/>
    <w:rsid w:val="00CF6F8B"/>
    <w:rsid w:val="00CF7700"/>
    <w:rsid w:val="00CF777F"/>
    <w:rsid w:val="00CF7EAE"/>
    <w:rsid w:val="00D01ADE"/>
    <w:rsid w:val="00D01C2F"/>
    <w:rsid w:val="00D02029"/>
    <w:rsid w:val="00D03EC8"/>
    <w:rsid w:val="00D06FA7"/>
    <w:rsid w:val="00D170BE"/>
    <w:rsid w:val="00D1734F"/>
    <w:rsid w:val="00D17D13"/>
    <w:rsid w:val="00D211EA"/>
    <w:rsid w:val="00D22E89"/>
    <w:rsid w:val="00D30F83"/>
    <w:rsid w:val="00D31839"/>
    <w:rsid w:val="00D321A9"/>
    <w:rsid w:val="00D32240"/>
    <w:rsid w:val="00D33ADB"/>
    <w:rsid w:val="00D33C9D"/>
    <w:rsid w:val="00D3462B"/>
    <w:rsid w:val="00D41385"/>
    <w:rsid w:val="00D44262"/>
    <w:rsid w:val="00D4476F"/>
    <w:rsid w:val="00D4736A"/>
    <w:rsid w:val="00D47C5C"/>
    <w:rsid w:val="00D53C4C"/>
    <w:rsid w:val="00D5796C"/>
    <w:rsid w:val="00D61D1A"/>
    <w:rsid w:val="00D63FC2"/>
    <w:rsid w:val="00D70CE1"/>
    <w:rsid w:val="00D716F6"/>
    <w:rsid w:val="00D73042"/>
    <w:rsid w:val="00D75336"/>
    <w:rsid w:val="00D75CED"/>
    <w:rsid w:val="00D76C66"/>
    <w:rsid w:val="00D866BC"/>
    <w:rsid w:val="00D910DD"/>
    <w:rsid w:val="00D91A5A"/>
    <w:rsid w:val="00D93452"/>
    <w:rsid w:val="00D94084"/>
    <w:rsid w:val="00D95B2A"/>
    <w:rsid w:val="00D97031"/>
    <w:rsid w:val="00D97810"/>
    <w:rsid w:val="00DA3619"/>
    <w:rsid w:val="00DA6E54"/>
    <w:rsid w:val="00DA7966"/>
    <w:rsid w:val="00DB2DE7"/>
    <w:rsid w:val="00DC15D8"/>
    <w:rsid w:val="00DC2C9D"/>
    <w:rsid w:val="00DD2C8B"/>
    <w:rsid w:val="00DD4C04"/>
    <w:rsid w:val="00DD6BEC"/>
    <w:rsid w:val="00DE0847"/>
    <w:rsid w:val="00DE22EA"/>
    <w:rsid w:val="00DE2433"/>
    <w:rsid w:val="00DF0616"/>
    <w:rsid w:val="00DF3521"/>
    <w:rsid w:val="00DF4D20"/>
    <w:rsid w:val="00DF58A4"/>
    <w:rsid w:val="00DF7F9D"/>
    <w:rsid w:val="00E04567"/>
    <w:rsid w:val="00E109E7"/>
    <w:rsid w:val="00E1669A"/>
    <w:rsid w:val="00E22CB8"/>
    <w:rsid w:val="00E242E5"/>
    <w:rsid w:val="00E268DC"/>
    <w:rsid w:val="00E2768C"/>
    <w:rsid w:val="00E32BDB"/>
    <w:rsid w:val="00E3358A"/>
    <w:rsid w:val="00E430E0"/>
    <w:rsid w:val="00E4333A"/>
    <w:rsid w:val="00E43C87"/>
    <w:rsid w:val="00E46648"/>
    <w:rsid w:val="00E47B1D"/>
    <w:rsid w:val="00E47C8C"/>
    <w:rsid w:val="00E51536"/>
    <w:rsid w:val="00E56BB4"/>
    <w:rsid w:val="00E616F8"/>
    <w:rsid w:val="00E6191F"/>
    <w:rsid w:val="00E635B3"/>
    <w:rsid w:val="00E6369D"/>
    <w:rsid w:val="00E67C5D"/>
    <w:rsid w:val="00E708C5"/>
    <w:rsid w:val="00E7295F"/>
    <w:rsid w:val="00E74887"/>
    <w:rsid w:val="00E81E61"/>
    <w:rsid w:val="00E84D0D"/>
    <w:rsid w:val="00E851E4"/>
    <w:rsid w:val="00E93874"/>
    <w:rsid w:val="00E9587B"/>
    <w:rsid w:val="00E964F7"/>
    <w:rsid w:val="00EA0081"/>
    <w:rsid w:val="00EA0E96"/>
    <w:rsid w:val="00EA646F"/>
    <w:rsid w:val="00EA7574"/>
    <w:rsid w:val="00EB05B3"/>
    <w:rsid w:val="00EB3337"/>
    <w:rsid w:val="00EB565E"/>
    <w:rsid w:val="00EC1B66"/>
    <w:rsid w:val="00EC2AA9"/>
    <w:rsid w:val="00EC2AD0"/>
    <w:rsid w:val="00EC4E2E"/>
    <w:rsid w:val="00ED3422"/>
    <w:rsid w:val="00ED43C7"/>
    <w:rsid w:val="00ED4913"/>
    <w:rsid w:val="00EE2517"/>
    <w:rsid w:val="00EE2DC0"/>
    <w:rsid w:val="00EE375F"/>
    <w:rsid w:val="00EE56EB"/>
    <w:rsid w:val="00EE5CCE"/>
    <w:rsid w:val="00EF07D4"/>
    <w:rsid w:val="00EF4BF0"/>
    <w:rsid w:val="00EF6185"/>
    <w:rsid w:val="00EF76D6"/>
    <w:rsid w:val="00F02C3B"/>
    <w:rsid w:val="00F071BA"/>
    <w:rsid w:val="00F07712"/>
    <w:rsid w:val="00F10F46"/>
    <w:rsid w:val="00F10F6F"/>
    <w:rsid w:val="00F1116C"/>
    <w:rsid w:val="00F137FD"/>
    <w:rsid w:val="00F145AE"/>
    <w:rsid w:val="00F147BB"/>
    <w:rsid w:val="00F208D3"/>
    <w:rsid w:val="00F20DD4"/>
    <w:rsid w:val="00F225A3"/>
    <w:rsid w:val="00F27589"/>
    <w:rsid w:val="00F33ED8"/>
    <w:rsid w:val="00F37CA5"/>
    <w:rsid w:val="00F430FE"/>
    <w:rsid w:val="00F43566"/>
    <w:rsid w:val="00F45F0A"/>
    <w:rsid w:val="00F515F0"/>
    <w:rsid w:val="00F53E1F"/>
    <w:rsid w:val="00F54F28"/>
    <w:rsid w:val="00F55925"/>
    <w:rsid w:val="00F56B86"/>
    <w:rsid w:val="00F6001D"/>
    <w:rsid w:val="00F620CD"/>
    <w:rsid w:val="00F640DD"/>
    <w:rsid w:val="00F677CE"/>
    <w:rsid w:val="00F7312E"/>
    <w:rsid w:val="00F83EAD"/>
    <w:rsid w:val="00F84B8C"/>
    <w:rsid w:val="00F855E6"/>
    <w:rsid w:val="00F856FC"/>
    <w:rsid w:val="00F85CF5"/>
    <w:rsid w:val="00F86F18"/>
    <w:rsid w:val="00F91A43"/>
    <w:rsid w:val="00F9254E"/>
    <w:rsid w:val="00F94E36"/>
    <w:rsid w:val="00FA5E43"/>
    <w:rsid w:val="00FA6C9F"/>
    <w:rsid w:val="00FA7DD4"/>
    <w:rsid w:val="00FB665F"/>
    <w:rsid w:val="00FC4B52"/>
    <w:rsid w:val="00FC6A1A"/>
    <w:rsid w:val="00FC6B5D"/>
    <w:rsid w:val="00FD006E"/>
    <w:rsid w:val="00FD0274"/>
    <w:rsid w:val="00FD2482"/>
    <w:rsid w:val="00FD349F"/>
    <w:rsid w:val="00FD4278"/>
    <w:rsid w:val="00FD4689"/>
    <w:rsid w:val="00FE11E1"/>
    <w:rsid w:val="00FE1DAF"/>
    <w:rsid w:val="00FE2437"/>
    <w:rsid w:val="00FE4A96"/>
    <w:rsid w:val="00FE564B"/>
    <w:rsid w:val="00FE6086"/>
    <w:rsid w:val="00FF0708"/>
    <w:rsid w:val="00FF4AA1"/>
    <w:rsid w:val="00FF58D3"/>
    <w:rsid w:val="00FF7BBB"/>
    <w:rsid w:val="3D6B333E"/>
    <w:rsid w:val="75BE4110"/>
    <w:rsid w:val="FFFFC8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ascii="Times New Roman" w:hAnsi="Times New Roman"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12">
    <w:name w:val="Char1"/>
    <w:basedOn w:val="1"/>
    <w:qFormat/>
    <w:uiPriority w:val="99"/>
    <w:rPr>
      <w:rFonts w:ascii="宋体" w:hAnsi="宋体" w:eastAsia="仿宋_GB2312"/>
      <w:sz w:val="32"/>
      <w:szCs w:val="20"/>
    </w:rPr>
  </w:style>
  <w:style w:type="character" w:customStyle="1" w:styleId="13">
    <w:name w:val="Balloon Text Char"/>
    <w:basedOn w:val="7"/>
    <w:link w:val="3"/>
    <w:semiHidden/>
    <w:qFormat/>
    <w:locked/>
    <w:uiPriority w:val="99"/>
    <w:rPr>
      <w:rFonts w:cs="Times New Roman"/>
      <w:sz w:val="2"/>
    </w:rPr>
  </w:style>
  <w:style w:type="character" w:customStyle="1" w:styleId="14">
    <w:name w:val="Date Char"/>
    <w:basedOn w:val="7"/>
    <w:link w:val="2"/>
    <w:semiHidden/>
    <w:qFormat/>
    <w:locked/>
    <w:uiPriority w:val="99"/>
    <w:rPr>
      <w:rFonts w:cs="Times New Roman"/>
      <w:sz w:val="21"/>
      <w:szCs w:val="21"/>
    </w:rPr>
  </w:style>
  <w:style w:type="paragraph" w:customStyle="1" w:styleId="15">
    <w:name w:val="Char"/>
    <w:basedOn w:val="1"/>
    <w:qFormat/>
    <w:uiPriority w:val="99"/>
    <w:pPr>
      <w:widowControl/>
      <w:spacing w:after="160" w:line="240" w:lineRule="exact"/>
      <w:jc w:val="left"/>
    </w:pPr>
    <w:rPr>
      <w:szCs w:val="24"/>
    </w:rPr>
  </w:style>
  <w:style w:type="paragraph" w:customStyle="1" w:styleId="16">
    <w:name w:val="Char Char Char Char Char Char Char"/>
    <w:basedOn w:val="1"/>
    <w:qFormat/>
    <w:uiPriority w:val="99"/>
    <w:rPr>
      <w:szCs w:val="24"/>
    </w:rPr>
  </w:style>
  <w:style w:type="paragraph" w:customStyle="1" w:styleId="17">
    <w:name w:val="p16"/>
    <w:basedOn w:val="1"/>
    <w:qFormat/>
    <w:uiPriority w:val="99"/>
    <w:pPr>
      <w:widowControl/>
    </w:pPr>
    <w:rPr>
      <w:rFonts w:ascii="Calibri" w:hAnsi="Calibri" w:cs="宋体"/>
      <w:kern w:val="0"/>
    </w:rPr>
  </w:style>
  <w:style w:type="paragraph" w:customStyle="1" w:styleId="18">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szCs w:val="24"/>
    </w:rPr>
  </w:style>
  <w:style w:type="paragraph" w:customStyle="1" w:styleId="19">
    <w:name w:val="Char Char1 Char Char Char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styleId="20">
    <w:name w:val="List Paragraph"/>
    <w:basedOn w:val="1"/>
    <w:qFormat/>
    <w:uiPriority w:val="99"/>
    <w:pPr>
      <w:ind w:firstLine="420" w:firstLineChars="200"/>
    </w:pPr>
  </w:style>
  <w:style w:type="paragraph" w:customStyle="1" w:styleId="21">
    <w:name w:val="Char Char Char Char1"/>
    <w:basedOn w:val="1"/>
    <w:semiHidden/>
    <w:qFormat/>
    <w:uiPriority w:val="99"/>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878</Words>
  <Characters>5005</Characters>
  <Lines>0</Lines>
  <Paragraphs>0</Paragraphs>
  <TotalTime>14</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2017-02-03T07:34:00Z</dcterms:created>
  <dc:creator>User</dc:creator>
  <cp:lastModifiedBy>user</cp:lastModifiedBy>
  <cp:lastPrinted>2017-02-03T05:18:00Z</cp:lastPrinted>
  <dcterms:modified xsi:type="dcterms:W3CDTF">2022-06-13T15:56:10Z</dcterms:modified>
  <dc:title>办公室核发单：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