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7"/>
          <w:rFonts w:ascii="黑体" w:hAnsi="黑体" w:eastAsia="黑体"/>
          <w:sz w:val="36"/>
          <w:szCs w:val="36"/>
        </w:rPr>
      </w:pPr>
      <w:r>
        <w:rPr>
          <w:rStyle w:val="7"/>
          <w:rFonts w:hint="eastAsia" w:ascii="黑体" w:hAnsi="黑体" w:eastAsia="黑体"/>
          <w:sz w:val="36"/>
          <w:szCs w:val="36"/>
        </w:rPr>
        <w:t>平湖市平湖市第二人民医院</w:t>
      </w:r>
    </w:p>
    <w:p>
      <w:pPr>
        <w:pStyle w:val="4"/>
        <w:jc w:val="center"/>
        <w:rPr>
          <w:sz w:val="36"/>
          <w:szCs w:val="36"/>
        </w:rPr>
      </w:pPr>
      <w:r>
        <w:rPr>
          <w:rStyle w:val="7"/>
          <w:rFonts w:hint="eastAsia" w:ascii="黑体" w:hAnsi="黑体" w:eastAsia="黑体"/>
          <w:sz w:val="36"/>
          <w:szCs w:val="36"/>
        </w:rPr>
        <w:t>2020年度部门决算</w:t>
      </w:r>
    </w:p>
    <w:p>
      <w:pPr>
        <w:pStyle w:val="4"/>
      </w:pPr>
      <w:r>
        <w:t> </w:t>
      </w:r>
      <w:r>
        <w:rPr>
          <w:rStyle w:val="7"/>
          <w:rFonts w:hint="eastAsia" w:ascii="黑体" w:hAnsi="黑体" w:eastAsia="黑体" w:cs="Arial"/>
          <w:sz w:val="32"/>
          <w:szCs w:val="32"/>
        </w:rPr>
        <w:t>一、平湖市第二人民医院概况</w:t>
      </w:r>
    </w:p>
    <w:p>
      <w:pPr>
        <w:spacing w:line="600" w:lineRule="atLeast"/>
        <w:ind w:firstLine="640"/>
        <w:jc w:val="both"/>
      </w:pPr>
      <w:r>
        <w:rPr>
          <w:rStyle w:val="7"/>
          <w:rFonts w:hint="eastAsia" w:ascii="楷体" w:hAnsi="楷体" w:eastAsia="楷体" w:cs="Arial"/>
          <w:sz w:val="32"/>
          <w:szCs w:val="32"/>
        </w:rPr>
        <w:t>（一）部门职责</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1. 基本职能：平湖市平湖市第二人民医院是一所集基本医疗、护理，医学教育保健与健康教育为一体的综合性二级医院。</w:t>
      </w:r>
    </w:p>
    <w:p>
      <w:pPr>
        <w:spacing w:line="600" w:lineRule="atLeast"/>
        <w:ind w:firstLine="640"/>
        <w:jc w:val="both"/>
      </w:pPr>
      <w:r>
        <w:rPr>
          <w:rStyle w:val="7"/>
          <w:rFonts w:hint="eastAsia" w:ascii="楷体" w:hAnsi="楷体" w:eastAsia="楷体" w:cs="Arial"/>
          <w:sz w:val="32"/>
          <w:szCs w:val="32"/>
        </w:rPr>
        <w:t>（二）机构设置</w:t>
      </w:r>
      <w:r>
        <w:rPr>
          <w:rFonts w:hint="eastAsia" w:ascii="仿宋_GB2312" w:hAnsi="Calibri" w:eastAsia="仿宋_GB2312"/>
          <w:sz w:val="30"/>
          <w:szCs w:val="30"/>
        </w:rPr>
        <w:t>：按平湖市卫健局要求设置业务科室和职能科室。</w:t>
      </w:r>
    </w:p>
    <w:p>
      <w:pPr>
        <w:spacing w:line="600" w:lineRule="atLeast"/>
        <w:ind w:firstLine="640"/>
        <w:jc w:val="both"/>
      </w:pPr>
      <w:r>
        <w:rPr>
          <w:rStyle w:val="7"/>
          <w:rFonts w:hint="eastAsia" w:ascii="黑体" w:hAnsi="黑体" w:eastAsia="黑体" w:cs="Arial"/>
          <w:sz w:val="32"/>
          <w:szCs w:val="32"/>
        </w:rPr>
        <w:t>二、平湖市平湖市第二人民医院2020年度部门决算情况说明</w:t>
      </w:r>
    </w:p>
    <w:p>
      <w:pPr>
        <w:spacing w:line="600" w:lineRule="atLeast"/>
        <w:jc w:val="both"/>
      </w:pPr>
      <w:r>
        <w:rPr>
          <w:rStyle w:val="7"/>
          <w:rFonts w:hint="eastAsia" w:ascii="楷体" w:hAnsi="楷体" w:eastAsia="楷体" w:cs="Arial"/>
          <w:sz w:val="32"/>
          <w:szCs w:val="32"/>
        </w:rPr>
        <w:t>（一）收入支出决算总体情况说明</w:t>
      </w:r>
    </w:p>
    <w:p>
      <w:pPr>
        <w:rPr>
          <w:rFonts w:ascii="仿宋" w:hAnsi="仿宋" w:eastAsia="仿宋" w:cs="Arial"/>
          <w:sz w:val="32"/>
          <w:szCs w:val="32"/>
        </w:rPr>
      </w:pPr>
      <w:r>
        <w:rPr>
          <w:rFonts w:hint="eastAsia" w:ascii="仿宋" w:hAnsi="仿宋" w:eastAsia="仿宋" w:cs="Arial"/>
          <w:sz w:val="32"/>
          <w:szCs w:val="32"/>
        </w:rPr>
        <w:t>2020年度收入总计28213.51万元，支出总计29035.89万元，与2019年度相比，收入增加167330.76万元，增长85.57%，支出增加9146.47万元，增长45.98%。主要原因是：1、</w:t>
      </w:r>
      <w:r>
        <w:rPr>
          <w:rFonts w:hint="eastAsia"/>
          <w:sz w:val="32"/>
          <w:szCs w:val="32"/>
        </w:rPr>
        <w:t>整个港区疫情防控经费4398万元都在二院账上列支。2、2019年10月医院开始了一个基建工程，2020年经费支出7493万元。</w:t>
      </w:r>
    </w:p>
    <w:p>
      <w:pPr>
        <w:spacing w:line="600" w:lineRule="atLeast"/>
        <w:ind w:firstLine="640"/>
        <w:jc w:val="both"/>
      </w:pPr>
      <w:r>
        <w:rPr>
          <w:rStyle w:val="7"/>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本年收入合计28213.51万元，包括事业收入13236.68万元，占收入合计47%；财政补助收入6782.48万元，占总收入的23.96%，其他收入8194.34万元，占收入合计29.04%。</w:t>
      </w:r>
    </w:p>
    <w:p>
      <w:pPr>
        <w:spacing w:line="600" w:lineRule="atLeast"/>
        <w:ind w:firstLine="640"/>
        <w:jc w:val="both"/>
      </w:pPr>
      <w:r>
        <w:rPr>
          <w:rStyle w:val="7"/>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本年支出合计29035.89万元，其中基本支出20841.55万元，占71.77%，项目支出8194.34万元，占总支出的28.23%。</w:t>
      </w:r>
    </w:p>
    <w:p>
      <w:pPr>
        <w:spacing w:line="600" w:lineRule="atLeast"/>
        <w:ind w:firstLine="640"/>
        <w:jc w:val="both"/>
      </w:pPr>
      <w:r>
        <w:rPr>
          <w:rStyle w:val="7"/>
          <w:rFonts w:hint="eastAsia" w:ascii="楷体" w:hAnsi="楷体" w:eastAsia="楷体" w:cs="Arial"/>
          <w:sz w:val="32"/>
          <w:szCs w:val="32"/>
        </w:rPr>
        <w:t>（四）财政拨款收入支出决算总体情况说明</w:t>
      </w:r>
    </w:p>
    <w:p>
      <w:pPr>
        <w:spacing w:line="520" w:lineRule="exact"/>
        <w:ind w:firstLine="570"/>
        <w:rPr>
          <w:rFonts w:hint="eastAsia" w:ascii="仿宋" w:hAnsi="仿宋" w:eastAsia="仿宋" w:cs="Arial"/>
          <w:sz w:val="32"/>
          <w:szCs w:val="32"/>
        </w:rPr>
      </w:pPr>
      <w:r>
        <w:rPr>
          <w:rFonts w:hint="eastAsia" w:ascii="仿宋" w:hAnsi="仿宋" w:eastAsia="仿宋" w:cs="Arial"/>
          <w:sz w:val="32"/>
          <w:szCs w:val="32"/>
        </w:rPr>
        <w:t>2020年我院财政项目支出8194.34万元，主要是基建支出7493万元</w:t>
      </w:r>
      <w:bookmarkStart w:id="0" w:name="_GoBack"/>
      <w:bookmarkEnd w:id="0"/>
      <w:r>
        <w:rPr>
          <w:rFonts w:hint="eastAsia" w:ascii="仿宋" w:hAnsi="仿宋" w:eastAsia="仿宋" w:cs="Arial"/>
          <w:sz w:val="32"/>
          <w:szCs w:val="32"/>
        </w:rPr>
        <w:t>，医疗设备支出1298.66万元。通过社发局</w:t>
      </w:r>
      <w:r>
        <w:rPr>
          <w:rFonts w:hint="eastAsia" w:ascii="仿宋" w:hAnsi="仿宋" w:eastAsia="仿宋" w:cs="Arial"/>
          <w:sz w:val="32"/>
          <w:szCs w:val="32"/>
          <w:lang w:eastAsia="zh-CN"/>
        </w:rPr>
        <w:t>下拨</w:t>
      </w:r>
      <w:r>
        <w:rPr>
          <w:rFonts w:hint="eastAsia" w:ascii="仿宋" w:hAnsi="仿宋" w:eastAsia="仿宋" w:cs="Arial"/>
          <w:sz w:val="32"/>
          <w:szCs w:val="32"/>
        </w:rPr>
        <w:t>的列入其他收入：包括疫情防控经费4398万元（整个港区），合作办医经费944万元（包括东方合作及二个院士工作站，二个上海专家工作室）；在编人员养老金医保经费371万元，退休人员福利经费159万元，人才学科建设经费49万元，医改后政策性亏损经费152万元，免费检测经费150万元（包括职业病体检、艾滋病专项测试费、霍乱弥菌、志贺沙门菌免费检测等），应急基础医疗建设经费56万元，担价工经费21万元，绿色通道经费10万元，学生健康档案经费50万元，中医非药物治疗经费45万元</w:t>
      </w:r>
    </w:p>
    <w:p>
      <w:pPr>
        <w:spacing w:line="600" w:lineRule="atLeast"/>
        <w:ind w:firstLine="640"/>
        <w:jc w:val="both"/>
      </w:pPr>
    </w:p>
    <w:p>
      <w:pPr>
        <w:spacing w:line="600" w:lineRule="atLeast"/>
        <w:ind w:firstLine="640"/>
        <w:jc w:val="both"/>
      </w:pPr>
      <w:r>
        <w:rPr>
          <w:rStyle w:val="7"/>
          <w:rFonts w:hint="eastAsia" w:ascii="楷体" w:hAnsi="楷体" w:eastAsia="楷体" w:cs="Arial"/>
          <w:sz w:val="32"/>
          <w:szCs w:val="32"/>
        </w:rPr>
        <w:t>（五）一般公共预算财政拨款支出决算情况说明</w:t>
      </w:r>
    </w:p>
    <w:p>
      <w:pPr>
        <w:spacing w:line="600" w:lineRule="atLeast"/>
        <w:ind w:firstLine="640"/>
        <w:jc w:val="both"/>
      </w:pPr>
      <w:r>
        <w:rPr>
          <w:rStyle w:val="7"/>
          <w:rFonts w:hint="eastAsia" w:ascii="仿宋" w:hAnsi="仿宋" w:eastAsia="仿宋" w:cs="Arial"/>
          <w:sz w:val="32"/>
          <w:szCs w:val="32"/>
        </w:rPr>
        <w:t>1.一般公共预算财政拨款支出决算总体情况。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2020年度一般公共预算财政拨款支出4480.7万元。</w:t>
      </w:r>
    </w:p>
    <w:p>
      <w:pPr>
        <w:spacing w:line="600" w:lineRule="atLeast"/>
        <w:ind w:firstLine="640"/>
        <w:jc w:val="both"/>
      </w:pPr>
      <w:r>
        <w:rPr>
          <w:rStyle w:val="7"/>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2020年度一般公共预算财政拨款支出4494.34万元，主要用于以下方面：一般公共服务（类）支出0万元，占0%；国防（类）支出0万元,占0%；公共安全（类）支出0万元,占0%；教育（类）支出0万元,占0%；科学技术（类）支出0万元,占0%；文化体育与传媒（类）支出0万元,占0%；社会保障和就业（类）支出0万元,占0%；医疗卫生与计划生育（类）支出4480.34万元,占99.69%；节能环保（类）支出0万元,占0%；城乡社区（类）支出13.65万元,占0.31%；农林水（类）支出0万元,占0%；交通运输（类）支出0万元,占0%；资源勘探信息等（类）支出0万元,占0%；商业服务业等（类）支出0万元,占0%；金融（类）支出0万元,占0%；援助其他地区（类）支出0万元,占0%；国土海洋气象等（类）支出0万元,占0%；住房保障（类）支出0万元,占0%；粮油物资储备（类）支出0万元,占0%；其他（类）支出0万元,占0%；债务还本（类）支出0万元,占0%；债务付息（类）支出0万元,占0%。</w:t>
      </w:r>
    </w:p>
    <w:p>
      <w:pPr>
        <w:spacing w:line="600" w:lineRule="atLeast"/>
        <w:ind w:firstLine="640"/>
        <w:jc w:val="both"/>
      </w:pPr>
      <w:r>
        <w:rPr>
          <w:rStyle w:val="7"/>
          <w:rFonts w:hint="eastAsia" w:ascii="仿宋" w:hAnsi="仿宋" w:eastAsia="仿宋" w:cs="Arial"/>
          <w:sz w:val="32"/>
          <w:szCs w:val="32"/>
        </w:rPr>
        <w:t>3.一般公共预算财政拨款支出决算具体情况。</w:t>
      </w:r>
    </w:p>
    <w:p>
      <w:pPr>
        <w:spacing w:line="600" w:lineRule="atLeast"/>
        <w:ind w:firstLine="640"/>
        <w:jc w:val="both"/>
      </w:pPr>
      <w:r>
        <w:rPr>
          <w:rFonts w:hint="eastAsia" w:ascii="仿宋" w:hAnsi="仿宋" w:eastAsia="仿宋" w:cs="Arial"/>
          <w:sz w:val="32"/>
          <w:szCs w:val="32"/>
        </w:rPr>
        <w:t>2020年度一般公共预算财政拨款支出年初预算为4494.34万元，支出决算为4494.34万元。</w:t>
      </w:r>
    </w:p>
    <w:p>
      <w:pPr>
        <w:spacing w:line="600" w:lineRule="atLeast"/>
        <w:jc w:val="both"/>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2020年一般公共预算财政拨款基本支出0万元。</w:t>
      </w:r>
    </w:p>
    <w:p>
      <w:pPr>
        <w:spacing w:line="600" w:lineRule="atLeast"/>
        <w:ind w:firstLine="640"/>
        <w:jc w:val="both"/>
      </w:pPr>
      <w:r>
        <w:rPr>
          <w:rStyle w:val="7"/>
          <w:rFonts w:hint="eastAsia" w:ascii="楷体" w:hAnsi="楷体" w:eastAsia="楷体" w:cs="Arial"/>
          <w:sz w:val="32"/>
          <w:szCs w:val="32"/>
        </w:rPr>
        <w:t>（七）政府性基金财政拨款支出决算情况说明</w:t>
      </w:r>
    </w:p>
    <w:p>
      <w:pPr>
        <w:spacing w:line="600" w:lineRule="atLeast"/>
        <w:ind w:firstLine="640"/>
        <w:jc w:val="both"/>
      </w:pPr>
      <w:r>
        <w:rPr>
          <w:rStyle w:val="7"/>
          <w:rFonts w:hint="eastAsia" w:ascii="仿宋" w:hAnsi="仿宋" w:eastAsia="仿宋" w:cs="Arial"/>
          <w:sz w:val="32"/>
          <w:szCs w:val="32"/>
        </w:rPr>
        <w:t>1.政府性基金预算财政拨款支出决算结构情况。</w:t>
      </w:r>
    </w:p>
    <w:p>
      <w:pPr>
        <w:spacing w:line="600" w:lineRule="atLeast"/>
        <w:ind w:firstLine="640"/>
        <w:jc w:val="both"/>
      </w:pPr>
      <w:r>
        <w:rPr>
          <w:rFonts w:hint="eastAsia" w:ascii="仿宋" w:hAnsi="仿宋" w:eastAsia="仿宋" w:cs="Arial"/>
          <w:sz w:val="32"/>
          <w:szCs w:val="32"/>
        </w:rPr>
        <w:t>2020年度政府性基金预算财政拨款支出3700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3700万元,占100%；债务付息（类）支出0万元,占0%。</w:t>
      </w:r>
    </w:p>
    <w:p>
      <w:pPr>
        <w:spacing w:line="600" w:lineRule="atLeast"/>
        <w:ind w:firstLine="640"/>
        <w:jc w:val="both"/>
      </w:pPr>
      <w:r>
        <w:rPr>
          <w:rStyle w:val="7"/>
          <w:rFonts w:hint="eastAsia" w:ascii="仿宋" w:hAnsi="仿宋" w:eastAsia="仿宋" w:cs="Arial"/>
          <w:sz w:val="32"/>
          <w:szCs w:val="32"/>
        </w:rPr>
        <w:t>2.政府性基金预算财政拨款支出决算具体情况。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2020年度政府性基金预算财政拨款支出年初预算为3700万元，支出决算为3700万元。</w:t>
      </w:r>
    </w:p>
    <w:p>
      <w:pPr>
        <w:spacing w:line="600" w:lineRule="atLeast"/>
        <w:ind w:firstLine="640"/>
        <w:jc w:val="both"/>
      </w:pPr>
      <w:r>
        <w:rPr>
          <w:rStyle w:val="7"/>
          <w:rFonts w:hint="eastAsia" w:ascii="楷体" w:hAnsi="楷体" w:eastAsia="楷体" w:cs="Arial"/>
          <w:sz w:val="32"/>
          <w:szCs w:val="32"/>
        </w:rPr>
        <w:t>（八）2020年度一般公共预算财政拨款“三公”经费支出决算情况说明</w:t>
      </w:r>
    </w:p>
    <w:p>
      <w:pPr>
        <w:spacing w:line="600" w:lineRule="atLeast"/>
        <w:ind w:firstLine="640"/>
        <w:jc w:val="both"/>
      </w:pPr>
      <w:r>
        <w:rPr>
          <w:rStyle w:val="7"/>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2020年度“三公”经费一般公共预算财政拨款支出预算为0万元，支出决算为0万元.</w:t>
      </w:r>
    </w:p>
    <w:p>
      <w:pPr>
        <w:spacing w:line="600" w:lineRule="atLeast"/>
        <w:ind w:firstLine="640"/>
        <w:jc w:val="both"/>
      </w:pPr>
      <w:r>
        <w:rPr>
          <w:rStyle w:val="7"/>
          <w:rFonts w:hint="eastAsia" w:ascii="仿宋" w:hAnsi="仿宋" w:eastAsia="仿宋" w:cs="Arial"/>
          <w:sz w:val="32"/>
          <w:szCs w:val="32"/>
        </w:rPr>
        <w:t>2.“三公”经费一般公共预算财政拨款支出决算具体情况说明。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2020年度“三公”经费一般公共预算财政拨款支出决算中，因公出国（境）费用支出决算为0万元，占0%，公务用车购置及运行维护费支出决算为0万元，占0%，公务接待费支出决算为0万元，占0%。</w:t>
      </w:r>
    </w:p>
    <w:p>
      <w:pPr>
        <w:spacing w:line="600" w:lineRule="atLeast"/>
        <w:ind w:firstLine="640"/>
        <w:jc w:val="both"/>
      </w:pPr>
      <w:r>
        <w:rPr>
          <w:rStyle w:val="7"/>
          <w:rFonts w:hint="eastAsia" w:ascii="仿宋" w:hAnsi="仿宋" w:eastAsia="仿宋" w:cs="Arial"/>
          <w:sz w:val="32"/>
          <w:szCs w:val="32"/>
        </w:rPr>
        <w:t>（1）因公出国（境）费</w:t>
      </w:r>
      <w:r>
        <w:rPr>
          <w:rFonts w:hint="eastAsia" w:ascii="仿宋" w:hAnsi="仿宋" w:eastAsia="仿宋" w:cs="Arial"/>
          <w:sz w:val="32"/>
          <w:szCs w:val="32"/>
        </w:rPr>
        <w:t>年初预算数为0万元，支出决算为0万元。完成年初预算的0%。</w:t>
      </w:r>
    </w:p>
    <w:p>
      <w:pPr>
        <w:spacing w:line="600" w:lineRule="atLeast"/>
        <w:ind w:firstLine="640"/>
        <w:jc w:val="both"/>
      </w:pPr>
      <w:r>
        <w:rPr>
          <w:rStyle w:val="7"/>
          <w:rFonts w:hint="eastAsia" w:ascii="仿宋" w:hAnsi="仿宋" w:eastAsia="仿宋" w:cs="Arial"/>
          <w:sz w:val="32"/>
          <w:szCs w:val="32"/>
        </w:rPr>
        <w:t>（2）公务用车购置及运行维护费</w:t>
      </w:r>
      <w:r>
        <w:rPr>
          <w:rFonts w:hint="eastAsia" w:ascii="仿宋" w:hAnsi="仿宋" w:eastAsia="仿宋" w:cs="Arial"/>
          <w:sz w:val="32"/>
          <w:szCs w:val="32"/>
        </w:rPr>
        <w:t>年初预算数为0万元，支出决算为0万元，完成年初预算的0%。</w:t>
      </w:r>
    </w:p>
    <w:p>
      <w:pPr>
        <w:spacing w:line="600" w:lineRule="atLeast"/>
        <w:ind w:firstLine="640"/>
        <w:jc w:val="both"/>
      </w:pPr>
      <w:r>
        <w:rPr>
          <w:rStyle w:val="7"/>
          <w:rFonts w:hint="eastAsia" w:ascii="仿宋" w:hAnsi="仿宋" w:eastAsia="仿宋" w:cs="Arial"/>
          <w:sz w:val="32"/>
          <w:szCs w:val="32"/>
        </w:rPr>
        <w:t>（3）公务接待费</w:t>
      </w:r>
      <w:r>
        <w:rPr>
          <w:rFonts w:hint="eastAsia" w:ascii="仿宋" w:hAnsi="仿宋" w:eastAsia="仿宋" w:cs="Arial"/>
          <w:sz w:val="32"/>
          <w:szCs w:val="32"/>
        </w:rPr>
        <w:t>年初预算数为0万元，支出决算为0.32万元，完成年初预算的0%。</w:t>
      </w:r>
    </w:p>
    <w:p>
      <w:pPr>
        <w:spacing w:line="600" w:lineRule="atLeast"/>
        <w:ind w:firstLine="640"/>
        <w:jc w:val="both"/>
      </w:pPr>
      <w:r>
        <w:rPr>
          <w:rStyle w:val="7"/>
          <w:rFonts w:hint="eastAsia" w:ascii="仿宋" w:hAnsi="仿宋" w:eastAsia="仿宋" w:cs="Arial"/>
          <w:sz w:val="32"/>
          <w:szCs w:val="32"/>
        </w:rPr>
        <w:t>其他国内公务接待</w:t>
      </w:r>
      <w:r>
        <w:rPr>
          <w:rFonts w:hint="eastAsia" w:ascii="仿宋" w:hAnsi="仿宋" w:eastAsia="仿宋" w:cs="Arial"/>
          <w:sz w:val="32"/>
          <w:szCs w:val="32"/>
        </w:rPr>
        <w:t>支出0万元。</w:t>
      </w:r>
    </w:p>
    <w:p>
      <w:pPr>
        <w:spacing w:line="600" w:lineRule="atLeast"/>
        <w:ind w:firstLine="640"/>
        <w:jc w:val="both"/>
        <w:rPr>
          <w:rStyle w:val="7"/>
          <w:rFonts w:ascii="楷体" w:hAnsi="楷体" w:eastAsia="楷体" w:cs="Arial"/>
          <w:sz w:val="32"/>
          <w:szCs w:val="32"/>
        </w:rPr>
      </w:pPr>
      <w:r>
        <w:rPr>
          <w:rStyle w:val="7"/>
          <w:rFonts w:hint="eastAsia" w:ascii="楷体" w:hAnsi="楷体" w:eastAsia="楷体" w:cs="Arial"/>
          <w:sz w:val="32"/>
          <w:szCs w:val="32"/>
        </w:rPr>
        <w:t>（九）部门预算绩效情况说明</w:t>
      </w:r>
    </w:p>
    <w:p>
      <w:pPr>
        <w:spacing w:line="600" w:lineRule="atLeast"/>
        <w:ind w:firstLine="640"/>
        <w:jc w:val="both"/>
        <w:rPr>
          <w:rFonts w:ascii="仿宋" w:hAnsi="仿宋" w:eastAsia="仿宋" w:cs="Arial"/>
          <w:sz w:val="32"/>
          <w:szCs w:val="32"/>
        </w:rPr>
      </w:pPr>
      <w:r>
        <w:rPr>
          <w:rFonts w:hint="eastAsia"/>
          <w:b/>
          <w:bCs/>
        </w:rPr>
        <w:t>1</w:t>
      </w:r>
      <w:r>
        <w:rPr>
          <w:rFonts w:hint="eastAsia" w:ascii="仿宋" w:hAnsi="仿宋" w:eastAsia="仿宋" w:cs="Arial"/>
          <w:sz w:val="32"/>
          <w:szCs w:val="32"/>
        </w:rPr>
        <w:t>.预算绩效管理工作开展情况：无</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2.部门决算中项目绩效自评结果（公开2个项目绩效自评结果）：无</w:t>
      </w:r>
    </w:p>
    <w:p>
      <w:pPr>
        <w:spacing w:line="600" w:lineRule="atLeast"/>
        <w:ind w:firstLine="640"/>
        <w:jc w:val="both"/>
        <w:rPr>
          <w:b/>
        </w:rPr>
      </w:pPr>
      <w:r>
        <w:rPr>
          <w:rStyle w:val="7"/>
          <w:rFonts w:hint="eastAsia" w:ascii="仿宋" w:hAnsi="仿宋" w:eastAsia="仿宋" w:cs="Arial"/>
          <w:b w:val="0"/>
          <w:sz w:val="32"/>
          <w:szCs w:val="32"/>
        </w:rPr>
        <w:t>3.以部门为主体开展的重点绩效评价结果：无</w:t>
      </w:r>
    </w:p>
    <w:p>
      <w:pPr>
        <w:spacing w:line="600" w:lineRule="atLeast"/>
        <w:ind w:firstLine="640"/>
        <w:jc w:val="both"/>
      </w:pPr>
      <w:r>
        <w:rPr>
          <w:rStyle w:val="7"/>
          <w:rFonts w:hint="eastAsia" w:ascii="楷体" w:hAnsi="楷体" w:eastAsia="楷体" w:cs="Arial"/>
          <w:sz w:val="32"/>
          <w:szCs w:val="32"/>
        </w:rPr>
        <w:t>（十）其他重要事项的情况说明</w:t>
      </w:r>
    </w:p>
    <w:p>
      <w:pPr>
        <w:spacing w:line="600" w:lineRule="atLeast"/>
        <w:ind w:firstLine="640"/>
        <w:jc w:val="both"/>
      </w:pPr>
      <w:r>
        <w:rPr>
          <w:rStyle w:val="7"/>
          <w:rFonts w:hint="eastAsia" w:ascii="仿宋" w:hAnsi="仿宋" w:eastAsia="仿宋" w:cs="Arial"/>
          <w:sz w:val="32"/>
          <w:szCs w:val="32"/>
        </w:rPr>
        <w:t>1.机关运行经费支出情况。</w:t>
      </w:r>
    </w:p>
    <w:p>
      <w:pPr>
        <w:spacing w:line="600" w:lineRule="atLeast"/>
        <w:ind w:firstLine="640"/>
        <w:jc w:val="both"/>
      </w:pPr>
      <w:r>
        <w:rPr>
          <w:rFonts w:hint="eastAsia" w:ascii="仿宋" w:hAnsi="仿宋" w:eastAsia="仿宋" w:cs="Arial"/>
          <w:sz w:val="32"/>
          <w:szCs w:val="32"/>
        </w:rPr>
        <w:t>2020年度机关运行经费支出0万元。</w:t>
      </w:r>
    </w:p>
    <w:p>
      <w:pPr>
        <w:spacing w:line="600" w:lineRule="atLeast"/>
        <w:ind w:firstLine="640"/>
        <w:jc w:val="both"/>
      </w:pPr>
      <w:r>
        <w:rPr>
          <w:rStyle w:val="7"/>
          <w:rFonts w:hint="eastAsia" w:ascii="仿宋" w:hAnsi="仿宋" w:eastAsia="仿宋" w:cs="Arial"/>
          <w:sz w:val="32"/>
          <w:szCs w:val="32"/>
        </w:rPr>
        <w:t>2.政府采购支出情况。</w:t>
      </w:r>
    </w:p>
    <w:p>
      <w:pPr>
        <w:spacing w:line="324" w:lineRule="auto"/>
        <w:ind w:firstLine="594"/>
        <w:rPr>
          <w:rFonts w:ascii="仿宋" w:hAnsi="仿宋" w:eastAsia="仿宋"/>
          <w:sz w:val="32"/>
          <w:highlight w:val="white"/>
        </w:rPr>
      </w:pPr>
      <w:r>
        <w:rPr>
          <w:rFonts w:hint="eastAsia" w:ascii="仿宋" w:hAnsi="仿宋" w:eastAsia="仿宋"/>
          <w:color w:val="000000"/>
          <w:sz w:val="32"/>
          <w:highlight w:val="white"/>
        </w:rPr>
        <w:t>2020年度政府采购支出总额</w:t>
      </w:r>
      <w:r>
        <w:rPr>
          <w:rFonts w:hint="eastAsia" w:ascii="仿宋" w:hAnsi="仿宋" w:eastAsia="仿宋"/>
          <w:sz w:val="32"/>
          <w:highlight w:val="white"/>
        </w:rPr>
        <w:t>2713.05</w:t>
      </w:r>
      <w:r>
        <w:rPr>
          <w:rFonts w:hint="eastAsia" w:ascii="仿宋" w:hAnsi="仿宋" w:eastAsia="仿宋"/>
          <w:color w:val="000000"/>
          <w:sz w:val="32"/>
          <w:highlight w:val="white"/>
        </w:rPr>
        <w:t>万元，其中：政府采购货物支出</w:t>
      </w:r>
      <w:r>
        <w:rPr>
          <w:rFonts w:hint="eastAsia" w:ascii="仿宋" w:hAnsi="仿宋" w:eastAsia="仿宋"/>
          <w:sz w:val="32"/>
          <w:highlight w:val="white"/>
        </w:rPr>
        <w:t>2333.01</w:t>
      </w:r>
      <w:r>
        <w:rPr>
          <w:rFonts w:hint="eastAsia" w:ascii="仿宋" w:hAnsi="仿宋" w:eastAsia="仿宋"/>
          <w:color w:val="000000"/>
          <w:sz w:val="32"/>
          <w:highlight w:val="white"/>
        </w:rPr>
        <w:t>万元、政府采购工程支出</w:t>
      </w:r>
      <w:r>
        <w:rPr>
          <w:rFonts w:hint="eastAsia" w:ascii="仿宋" w:hAnsi="仿宋" w:eastAsia="仿宋"/>
          <w:sz w:val="32"/>
          <w:highlight w:val="white"/>
        </w:rPr>
        <w:t>271.65</w:t>
      </w:r>
      <w:r>
        <w:rPr>
          <w:rFonts w:hint="eastAsia" w:ascii="仿宋" w:hAnsi="仿宋" w:eastAsia="仿宋"/>
          <w:color w:val="000000"/>
          <w:sz w:val="32"/>
          <w:highlight w:val="white"/>
        </w:rPr>
        <w:t>万元、政府采购服务支出</w:t>
      </w:r>
      <w:r>
        <w:rPr>
          <w:rFonts w:hint="eastAsia" w:ascii="仿宋" w:hAnsi="仿宋" w:eastAsia="仿宋"/>
          <w:sz w:val="32"/>
          <w:highlight w:val="white"/>
        </w:rPr>
        <w:t>108.39</w:t>
      </w:r>
      <w:r>
        <w:rPr>
          <w:rFonts w:hint="eastAsia" w:ascii="仿宋" w:hAnsi="仿宋" w:eastAsia="仿宋"/>
          <w:color w:val="000000"/>
          <w:sz w:val="32"/>
          <w:highlight w:val="white"/>
        </w:rPr>
        <w:t>万元。</w:t>
      </w:r>
      <w:r>
        <w:rPr>
          <w:rFonts w:hint="eastAsia" w:ascii="仿宋" w:hAnsi="仿宋" w:eastAsia="仿宋"/>
          <w:sz w:val="32"/>
          <w:highlight w:val="white"/>
        </w:rPr>
        <w:t>授予中小企业合同金额2713.05万元，占政府采购支出总额的100%。</w:t>
      </w:r>
      <w:r>
        <w:rPr>
          <w:rFonts w:hint="eastAsia" w:ascii="仿宋" w:hAnsi="仿宋" w:eastAsia="仿宋"/>
          <w:color w:val="000000"/>
          <w:sz w:val="32"/>
          <w:highlight w:val="white"/>
        </w:rPr>
        <w:t>其中，授予小微企业合同金额</w:t>
      </w:r>
      <w:r>
        <w:rPr>
          <w:rFonts w:hint="eastAsia" w:ascii="仿宋" w:hAnsi="仿宋" w:eastAsia="仿宋"/>
          <w:sz w:val="32"/>
          <w:highlight w:val="white"/>
        </w:rPr>
        <w:t>0</w:t>
      </w:r>
      <w:r>
        <w:rPr>
          <w:rFonts w:hint="eastAsia" w:ascii="仿宋" w:hAnsi="仿宋" w:eastAsia="仿宋"/>
          <w:color w:val="000000"/>
          <w:sz w:val="32"/>
          <w:highlight w:val="white"/>
        </w:rPr>
        <w:t>万元，占政府采购支出总额的</w:t>
      </w:r>
      <w:r>
        <w:rPr>
          <w:rFonts w:hint="eastAsia" w:ascii="仿宋" w:hAnsi="仿宋" w:eastAsia="仿宋"/>
          <w:sz w:val="32"/>
          <w:highlight w:val="white"/>
        </w:rPr>
        <w:t>0%。</w:t>
      </w:r>
    </w:p>
    <w:p>
      <w:pPr>
        <w:spacing w:line="600" w:lineRule="atLeast"/>
        <w:ind w:firstLine="640"/>
        <w:jc w:val="both"/>
      </w:pPr>
      <w:r>
        <w:rPr>
          <w:rStyle w:val="7"/>
          <w:rFonts w:hint="eastAsia" w:ascii="仿宋" w:hAnsi="仿宋" w:eastAsia="仿宋" w:cs="Arial"/>
          <w:sz w:val="32"/>
          <w:szCs w:val="32"/>
        </w:rPr>
        <w:t>3.国有资产占有使用情况。</w:t>
      </w:r>
    </w:p>
    <w:p>
      <w:pPr>
        <w:spacing w:line="600" w:lineRule="atLeast"/>
        <w:ind w:firstLine="640"/>
        <w:jc w:val="both"/>
      </w:pPr>
      <w:r>
        <w:rPr>
          <w:rFonts w:hint="eastAsia" w:ascii="仿宋" w:hAnsi="仿宋" w:eastAsia="仿宋" w:cs="Arial"/>
          <w:sz w:val="32"/>
          <w:szCs w:val="32"/>
        </w:rPr>
        <w:t xml:space="preserve">截至2020年12月31日，我院有救护车4辆,主要用于港区及周边地区的病人急救转运。单价50万元以上通用设备0台（套），单价100万元以上专用设备3台（套）。 </w:t>
      </w:r>
    </w:p>
    <w:p>
      <w:pPr>
        <w:spacing w:line="600" w:lineRule="atLeast"/>
        <w:ind w:firstLine="640"/>
        <w:jc w:val="both"/>
      </w:pPr>
      <w:r>
        <w:rPr>
          <w:rStyle w:val="7"/>
          <w:rFonts w:hint="eastAsia" w:ascii="黑体" w:hAns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5.用事业基金弥补收支差额：指事业单位当年的“财政拨款收入”“事业收入”“其他收入”等不足以安排当年支出的情况下，使用以前年度积累的事业基金弥补本年收支缺口的资金。</w:t>
      </w:r>
    </w:p>
    <w:p>
      <w:pPr>
        <w:spacing w:line="600" w:lineRule="atLeast"/>
        <w:ind w:firstLine="640"/>
        <w:jc w:val="both"/>
      </w:pPr>
      <w:r>
        <w:rPr>
          <w:rFonts w:hint="eastAsia" w:ascii="仿宋" w:hAnsi="仿宋" w:eastAsia="仿宋" w:cs="Arial"/>
          <w:sz w:val="32"/>
          <w:szCs w:val="32"/>
        </w:rPr>
        <w:t>6.年初结转和结余：指预算单位以前年度尚未完成、结转到本年仍按原规定用途继续使用的资金。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7.年末结转和结余：指单位按有关规定结转到下年或以后年度继续使用的资金。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8.基本支出：指预算单位为保障其正常运转，完成日常工作任务所发生的支出，包括人员经费支出和日常公用经费支出。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9.项目支出：指预算单位为完成其特定的行政工作任务或事业发展目标所发生的支出。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10.经营支出：指事业单位在专业业务活动及其辅助活动之外开展非独立核算经营活动发生的支出。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2"/>
  </w:compat>
  <w:rsids>
    <w:rsidRoot w:val="008C0ABB"/>
    <w:rsid w:val="0000161D"/>
    <w:rsid w:val="00024E57"/>
    <w:rsid w:val="00062AFB"/>
    <w:rsid w:val="000727CE"/>
    <w:rsid w:val="00073400"/>
    <w:rsid w:val="00092EF6"/>
    <w:rsid w:val="00095C29"/>
    <w:rsid w:val="000B7555"/>
    <w:rsid w:val="000F41C6"/>
    <w:rsid w:val="00164F9F"/>
    <w:rsid w:val="00166C6D"/>
    <w:rsid w:val="00187C3E"/>
    <w:rsid w:val="001B19A4"/>
    <w:rsid w:val="001B3FBF"/>
    <w:rsid w:val="001C513E"/>
    <w:rsid w:val="001D7D14"/>
    <w:rsid w:val="001F4F62"/>
    <w:rsid w:val="001F629F"/>
    <w:rsid w:val="0022181F"/>
    <w:rsid w:val="002279BF"/>
    <w:rsid w:val="00256E21"/>
    <w:rsid w:val="0026227D"/>
    <w:rsid w:val="00270748"/>
    <w:rsid w:val="002808B8"/>
    <w:rsid w:val="002D4CB8"/>
    <w:rsid w:val="003217B4"/>
    <w:rsid w:val="00323CA9"/>
    <w:rsid w:val="00357119"/>
    <w:rsid w:val="00371B4D"/>
    <w:rsid w:val="0038586B"/>
    <w:rsid w:val="003876BA"/>
    <w:rsid w:val="003A37BF"/>
    <w:rsid w:val="003A7A96"/>
    <w:rsid w:val="003E1DBE"/>
    <w:rsid w:val="003E2D77"/>
    <w:rsid w:val="003E5789"/>
    <w:rsid w:val="0040426C"/>
    <w:rsid w:val="00412399"/>
    <w:rsid w:val="0041517C"/>
    <w:rsid w:val="00446237"/>
    <w:rsid w:val="00463516"/>
    <w:rsid w:val="00483563"/>
    <w:rsid w:val="004A47B1"/>
    <w:rsid w:val="004D6D5B"/>
    <w:rsid w:val="004E0B53"/>
    <w:rsid w:val="00521AB6"/>
    <w:rsid w:val="00552726"/>
    <w:rsid w:val="005700FA"/>
    <w:rsid w:val="005807D5"/>
    <w:rsid w:val="00586ADD"/>
    <w:rsid w:val="006E08F3"/>
    <w:rsid w:val="006E6450"/>
    <w:rsid w:val="007150E1"/>
    <w:rsid w:val="0074075F"/>
    <w:rsid w:val="00753A98"/>
    <w:rsid w:val="00764C2E"/>
    <w:rsid w:val="00773C6F"/>
    <w:rsid w:val="007B1C65"/>
    <w:rsid w:val="007F4EAD"/>
    <w:rsid w:val="007F6F4A"/>
    <w:rsid w:val="00824841"/>
    <w:rsid w:val="008C0ABB"/>
    <w:rsid w:val="008C4EE8"/>
    <w:rsid w:val="008F7957"/>
    <w:rsid w:val="00976869"/>
    <w:rsid w:val="009B5A08"/>
    <w:rsid w:val="009C5F99"/>
    <w:rsid w:val="009E2360"/>
    <w:rsid w:val="00A21D21"/>
    <w:rsid w:val="00A85E50"/>
    <w:rsid w:val="00A86FA7"/>
    <w:rsid w:val="00AA2FA8"/>
    <w:rsid w:val="00AE2F9C"/>
    <w:rsid w:val="00AF1177"/>
    <w:rsid w:val="00B175FB"/>
    <w:rsid w:val="00B4664C"/>
    <w:rsid w:val="00B47942"/>
    <w:rsid w:val="00BC15F4"/>
    <w:rsid w:val="00BC407F"/>
    <w:rsid w:val="00BF36E3"/>
    <w:rsid w:val="00C118C1"/>
    <w:rsid w:val="00C64D82"/>
    <w:rsid w:val="00C7659E"/>
    <w:rsid w:val="00C76651"/>
    <w:rsid w:val="00CC6474"/>
    <w:rsid w:val="00D30C29"/>
    <w:rsid w:val="00D37286"/>
    <w:rsid w:val="00E003A2"/>
    <w:rsid w:val="00E901B7"/>
    <w:rsid w:val="00E92708"/>
    <w:rsid w:val="00EA4148"/>
    <w:rsid w:val="00ED0C12"/>
    <w:rsid w:val="00ED4A57"/>
    <w:rsid w:val="00ED7049"/>
    <w:rsid w:val="00ED7F6A"/>
    <w:rsid w:val="00EF7BDC"/>
    <w:rsid w:val="00F71289"/>
    <w:rsid w:val="00F744A5"/>
    <w:rsid w:val="00F93641"/>
    <w:rsid w:val="00F96665"/>
    <w:rsid w:val="00F96CE1"/>
    <w:rsid w:val="00FC6CA0"/>
    <w:rsid w:val="00FE40AB"/>
    <w:rsid w:val="0CBC69AF"/>
    <w:rsid w:val="144F481D"/>
    <w:rsid w:val="1AC5263E"/>
    <w:rsid w:val="25693C59"/>
    <w:rsid w:val="316A2B5C"/>
    <w:rsid w:val="6783101D"/>
    <w:rsid w:val="7BFB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521</Words>
  <Characters>2975</Characters>
  <Lines>24</Lines>
  <Paragraphs>6</Paragraphs>
  <TotalTime>93</TotalTime>
  <ScaleCrop>false</ScaleCrop>
  <LinksUpToDate>false</LinksUpToDate>
  <CharactersWithSpaces>3490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2019-09-10T15:09:00Z</dcterms:created>
  <dc:creator>Administrator</dc:creator>
  <cp:lastModifiedBy>user</cp:lastModifiedBy>
  <dcterms:modified xsi:type="dcterms:W3CDTF">2021-11-11T09:29:52Z</dcterms:modified>
  <dc:title>DWZDM</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